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60A0F" w14:textId="31824FC0" w:rsidR="00E50B19" w:rsidRPr="000412A1" w:rsidRDefault="00E50B19" w:rsidP="0090081F">
      <w:pPr>
        <w:spacing w:line="480" w:lineRule="auto"/>
        <w:rPr>
          <w:b/>
          <w:sz w:val="22"/>
          <w:szCs w:val="22"/>
        </w:rPr>
      </w:pPr>
      <w:bookmarkStart w:id="0" w:name="_GoBack"/>
      <w:bookmarkEnd w:id="0"/>
      <w:r w:rsidRPr="000412A1">
        <w:rPr>
          <w:b/>
          <w:sz w:val="22"/>
          <w:szCs w:val="22"/>
        </w:rPr>
        <w:t>Assessment of Electro</w:t>
      </w:r>
      <w:r w:rsidR="006538F0" w:rsidRPr="000412A1">
        <w:rPr>
          <w:b/>
          <w:sz w:val="22"/>
          <w:szCs w:val="22"/>
        </w:rPr>
        <w:t xml:space="preserve">-Oxidation </w:t>
      </w:r>
      <w:r w:rsidR="00DC0189" w:rsidRPr="000412A1">
        <w:rPr>
          <w:b/>
          <w:sz w:val="22"/>
          <w:szCs w:val="22"/>
        </w:rPr>
        <w:t>as</w:t>
      </w:r>
      <w:r w:rsidRPr="000412A1">
        <w:rPr>
          <w:b/>
          <w:sz w:val="22"/>
          <w:szCs w:val="22"/>
        </w:rPr>
        <w:t xml:space="preserve"> </w:t>
      </w:r>
      <w:r w:rsidR="006538F0" w:rsidRPr="000412A1">
        <w:rPr>
          <w:b/>
          <w:sz w:val="22"/>
          <w:szCs w:val="22"/>
        </w:rPr>
        <w:t>P</w:t>
      </w:r>
      <w:r w:rsidR="003A57F9" w:rsidRPr="000412A1">
        <w:rPr>
          <w:b/>
          <w:sz w:val="22"/>
          <w:szCs w:val="22"/>
        </w:rPr>
        <w:t>re-</w:t>
      </w:r>
      <w:r w:rsidRPr="000412A1">
        <w:rPr>
          <w:b/>
          <w:sz w:val="22"/>
          <w:szCs w:val="22"/>
        </w:rPr>
        <w:t xml:space="preserve"> and </w:t>
      </w:r>
      <w:r w:rsidR="006538F0" w:rsidRPr="000412A1">
        <w:rPr>
          <w:b/>
          <w:sz w:val="22"/>
          <w:szCs w:val="22"/>
        </w:rPr>
        <w:t>P</w:t>
      </w:r>
      <w:r w:rsidRPr="000412A1">
        <w:rPr>
          <w:b/>
          <w:sz w:val="22"/>
          <w:szCs w:val="22"/>
        </w:rPr>
        <w:t>ost-</w:t>
      </w:r>
      <w:r w:rsidR="006538F0" w:rsidRPr="000412A1">
        <w:rPr>
          <w:b/>
          <w:sz w:val="22"/>
          <w:szCs w:val="22"/>
        </w:rPr>
        <w:t xml:space="preserve">Treatment </w:t>
      </w:r>
      <w:r w:rsidR="00B03C23" w:rsidRPr="000412A1">
        <w:rPr>
          <w:b/>
          <w:sz w:val="22"/>
          <w:szCs w:val="22"/>
        </w:rPr>
        <w:t xml:space="preserve">for </w:t>
      </w:r>
      <w:r w:rsidR="006538F0" w:rsidRPr="000412A1">
        <w:rPr>
          <w:b/>
          <w:sz w:val="22"/>
          <w:szCs w:val="22"/>
        </w:rPr>
        <w:t>I</w:t>
      </w:r>
      <w:r w:rsidR="00B81E74" w:rsidRPr="000412A1">
        <w:rPr>
          <w:b/>
          <w:sz w:val="22"/>
          <w:szCs w:val="22"/>
        </w:rPr>
        <w:t>mprov</w:t>
      </w:r>
      <w:r w:rsidR="00B03C23" w:rsidRPr="000412A1">
        <w:rPr>
          <w:b/>
          <w:sz w:val="22"/>
          <w:szCs w:val="22"/>
        </w:rPr>
        <w:t>ing</w:t>
      </w:r>
      <w:r w:rsidRPr="000412A1">
        <w:rPr>
          <w:b/>
          <w:sz w:val="22"/>
          <w:szCs w:val="22"/>
        </w:rPr>
        <w:t xml:space="preserve"> Anaerobic Digestion </w:t>
      </w:r>
      <w:r w:rsidR="009237AE" w:rsidRPr="000412A1">
        <w:rPr>
          <w:b/>
          <w:sz w:val="22"/>
          <w:szCs w:val="22"/>
        </w:rPr>
        <w:t xml:space="preserve">and </w:t>
      </w:r>
      <w:r w:rsidR="006538F0" w:rsidRPr="000412A1">
        <w:rPr>
          <w:b/>
          <w:sz w:val="22"/>
          <w:szCs w:val="22"/>
        </w:rPr>
        <w:t>Stabili</w:t>
      </w:r>
      <w:r w:rsidR="00C02204" w:rsidRPr="000412A1">
        <w:rPr>
          <w:b/>
          <w:sz w:val="22"/>
          <w:szCs w:val="22"/>
        </w:rPr>
        <w:t>s</w:t>
      </w:r>
      <w:r w:rsidR="006538F0" w:rsidRPr="000412A1">
        <w:rPr>
          <w:b/>
          <w:sz w:val="22"/>
          <w:szCs w:val="22"/>
        </w:rPr>
        <w:t xml:space="preserve">ation </w:t>
      </w:r>
      <w:r w:rsidRPr="000412A1">
        <w:rPr>
          <w:b/>
          <w:sz w:val="22"/>
          <w:szCs w:val="22"/>
        </w:rPr>
        <w:t>of Waste</w:t>
      </w:r>
      <w:r w:rsidR="001A1FE2">
        <w:rPr>
          <w:b/>
          <w:sz w:val="22"/>
          <w:szCs w:val="22"/>
        </w:rPr>
        <w:t xml:space="preserve"> </w:t>
      </w:r>
      <w:r w:rsidRPr="000412A1">
        <w:rPr>
          <w:b/>
          <w:sz w:val="22"/>
          <w:szCs w:val="22"/>
        </w:rPr>
        <w:t>Activated Sludge</w:t>
      </w:r>
    </w:p>
    <w:p w14:paraId="45ECA63C" w14:textId="77777777" w:rsidR="00E50B19" w:rsidRPr="000412A1" w:rsidRDefault="00E50B19" w:rsidP="0090081F">
      <w:pPr>
        <w:autoSpaceDE w:val="0"/>
        <w:autoSpaceDN w:val="0"/>
        <w:adjustRightInd w:val="0"/>
        <w:spacing w:line="480" w:lineRule="auto"/>
        <w:rPr>
          <w:sz w:val="22"/>
          <w:szCs w:val="22"/>
        </w:rPr>
      </w:pPr>
    </w:p>
    <w:p w14:paraId="22B21BE6" w14:textId="6443CAAA" w:rsidR="00E50B19" w:rsidRPr="009A0A82" w:rsidRDefault="00E50B19" w:rsidP="0090081F">
      <w:pPr>
        <w:autoSpaceDE w:val="0"/>
        <w:autoSpaceDN w:val="0"/>
        <w:adjustRightInd w:val="0"/>
        <w:spacing w:line="480" w:lineRule="auto"/>
        <w:rPr>
          <w:sz w:val="22"/>
          <w:szCs w:val="22"/>
          <w:lang w:val="es-ES"/>
        </w:rPr>
      </w:pPr>
      <w:r w:rsidRPr="009A0A82">
        <w:rPr>
          <w:sz w:val="22"/>
          <w:szCs w:val="22"/>
          <w:lang w:val="es-ES"/>
        </w:rPr>
        <w:t>C</w:t>
      </w:r>
      <w:r w:rsidR="00F614D1" w:rsidRPr="009A0A82">
        <w:rPr>
          <w:sz w:val="22"/>
          <w:szCs w:val="22"/>
          <w:lang w:val="es-ES"/>
        </w:rPr>
        <w:t xml:space="preserve">ristian </w:t>
      </w:r>
      <w:r w:rsidRPr="009A0A82">
        <w:rPr>
          <w:sz w:val="22"/>
          <w:szCs w:val="22"/>
          <w:lang w:val="es-ES"/>
        </w:rPr>
        <w:t xml:space="preserve">B. Arenas, </w:t>
      </w:r>
      <w:proofErr w:type="spellStart"/>
      <w:r w:rsidR="00AA72EF" w:rsidRPr="009A0A82">
        <w:rPr>
          <w:sz w:val="22"/>
          <w:szCs w:val="22"/>
          <w:lang w:val="es-ES"/>
        </w:rPr>
        <w:t>R</w:t>
      </w:r>
      <w:r w:rsidR="00F614D1" w:rsidRPr="009A0A82">
        <w:rPr>
          <w:sz w:val="22"/>
          <w:szCs w:val="22"/>
          <w:lang w:val="es-ES"/>
        </w:rPr>
        <w:t>uben</w:t>
      </w:r>
      <w:proofErr w:type="spellEnd"/>
      <w:r w:rsidR="00AA72EF" w:rsidRPr="009A0A82">
        <w:rPr>
          <w:sz w:val="22"/>
          <w:szCs w:val="22"/>
          <w:lang w:val="es-ES"/>
        </w:rPr>
        <w:t xml:space="preserve"> González,</w:t>
      </w:r>
      <w:r w:rsidR="00117E70" w:rsidRPr="009A0A82">
        <w:rPr>
          <w:sz w:val="22"/>
          <w:szCs w:val="22"/>
          <w:lang w:val="es-ES"/>
        </w:rPr>
        <w:t xml:space="preserve"> J</w:t>
      </w:r>
      <w:r w:rsidR="00F614D1" w:rsidRPr="009A0A82">
        <w:rPr>
          <w:sz w:val="22"/>
          <w:szCs w:val="22"/>
          <w:lang w:val="es-ES"/>
        </w:rPr>
        <w:t>udith</w:t>
      </w:r>
      <w:r w:rsidR="00117E70" w:rsidRPr="009A0A82">
        <w:rPr>
          <w:sz w:val="22"/>
          <w:szCs w:val="22"/>
          <w:lang w:val="es-ES"/>
        </w:rPr>
        <w:t xml:space="preserve"> González, J</w:t>
      </w:r>
      <w:r w:rsidR="00F614D1" w:rsidRPr="009A0A82">
        <w:rPr>
          <w:sz w:val="22"/>
          <w:szCs w:val="22"/>
          <w:lang w:val="es-ES"/>
        </w:rPr>
        <w:t>orge</w:t>
      </w:r>
      <w:r w:rsidR="00117E70" w:rsidRPr="009A0A82">
        <w:rPr>
          <w:sz w:val="22"/>
          <w:szCs w:val="22"/>
          <w:lang w:val="es-ES"/>
        </w:rPr>
        <w:t xml:space="preserve"> Cara, </w:t>
      </w:r>
      <w:r w:rsidR="00F614D1" w:rsidRPr="009A0A82">
        <w:rPr>
          <w:sz w:val="22"/>
          <w:szCs w:val="22"/>
          <w:lang w:val="es-ES"/>
        </w:rPr>
        <w:t>Georg</w:t>
      </w:r>
      <w:r w:rsidR="00396C2F" w:rsidRPr="009A0A82">
        <w:rPr>
          <w:sz w:val="22"/>
          <w:szCs w:val="22"/>
          <w:lang w:val="es-ES"/>
        </w:rPr>
        <w:t>e</w:t>
      </w:r>
      <w:r w:rsidR="00F614D1" w:rsidRPr="009A0A82">
        <w:rPr>
          <w:sz w:val="22"/>
          <w:szCs w:val="22"/>
          <w:lang w:val="es-ES"/>
        </w:rPr>
        <w:t xml:space="preserve"> </w:t>
      </w:r>
      <w:proofErr w:type="spellStart"/>
      <w:r w:rsidR="00F614D1" w:rsidRPr="009A0A82">
        <w:rPr>
          <w:sz w:val="22"/>
          <w:szCs w:val="22"/>
          <w:lang w:val="es-ES"/>
        </w:rPr>
        <w:t>Papaharala</w:t>
      </w:r>
      <w:r w:rsidR="00E219D9" w:rsidRPr="009A0A82">
        <w:rPr>
          <w:sz w:val="22"/>
          <w:szCs w:val="22"/>
          <w:lang w:val="es-ES"/>
        </w:rPr>
        <w:t>b</w:t>
      </w:r>
      <w:r w:rsidR="00F614D1" w:rsidRPr="009A0A82">
        <w:rPr>
          <w:sz w:val="22"/>
          <w:szCs w:val="22"/>
          <w:lang w:val="es-ES"/>
        </w:rPr>
        <w:t>os</w:t>
      </w:r>
      <w:proofErr w:type="spellEnd"/>
      <w:r w:rsidR="00C17D7C" w:rsidRPr="009A0A82">
        <w:rPr>
          <w:sz w:val="22"/>
          <w:szCs w:val="22"/>
          <w:lang w:val="es-ES"/>
        </w:rPr>
        <w:t xml:space="preserve">, </w:t>
      </w:r>
      <w:proofErr w:type="spellStart"/>
      <w:r w:rsidRPr="009A0A82">
        <w:rPr>
          <w:sz w:val="22"/>
          <w:szCs w:val="22"/>
          <w:lang w:val="es-ES"/>
        </w:rPr>
        <w:t>X</w:t>
      </w:r>
      <w:r w:rsidR="00F614D1" w:rsidRPr="009A0A82">
        <w:rPr>
          <w:sz w:val="22"/>
          <w:szCs w:val="22"/>
          <w:lang w:val="es-ES"/>
        </w:rPr>
        <w:t>iomar</w:t>
      </w:r>
      <w:proofErr w:type="spellEnd"/>
      <w:r w:rsidRPr="009A0A82">
        <w:rPr>
          <w:sz w:val="22"/>
          <w:szCs w:val="22"/>
          <w:lang w:val="es-ES"/>
        </w:rPr>
        <w:t xml:space="preserve"> Gómez, E.</w:t>
      </w:r>
      <w:r w:rsidR="004937C5" w:rsidRPr="009A0A82">
        <w:rPr>
          <w:sz w:val="22"/>
          <w:szCs w:val="22"/>
          <w:lang w:val="es-ES"/>
        </w:rPr>
        <w:t xml:space="preserve"> </w:t>
      </w:r>
      <w:r w:rsidRPr="009A0A82">
        <w:rPr>
          <w:sz w:val="22"/>
          <w:szCs w:val="22"/>
          <w:lang w:val="es-ES"/>
        </w:rPr>
        <w:t>J</w:t>
      </w:r>
      <w:r w:rsidR="00F614D1" w:rsidRPr="009A0A82">
        <w:rPr>
          <w:sz w:val="22"/>
          <w:szCs w:val="22"/>
          <w:lang w:val="es-ES"/>
        </w:rPr>
        <w:t>udith</w:t>
      </w:r>
      <w:r w:rsidRPr="009A0A82">
        <w:rPr>
          <w:sz w:val="22"/>
          <w:szCs w:val="22"/>
          <w:lang w:val="es-ES"/>
        </w:rPr>
        <w:t xml:space="preserve"> </w:t>
      </w:r>
      <w:r w:rsidR="00324282" w:rsidRPr="009A0A82">
        <w:rPr>
          <w:sz w:val="22"/>
          <w:szCs w:val="22"/>
          <w:lang w:val="es-ES"/>
        </w:rPr>
        <w:t>Martínez</w:t>
      </w:r>
      <w:r w:rsidR="00117E70" w:rsidRPr="009A0A82">
        <w:rPr>
          <w:sz w:val="22"/>
          <w:szCs w:val="22"/>
          <w:lang w:val="es-ES"/>
        </w:rPr>
        <w:t>*</w:t>
      </w:r>
      <w:r w:rsidRPr="009A0A82">
        <w:rPr>
          <w:sz w:val="22"/>
          <w:szCs w:val="22"/>
          <w:lang w:val="es-ES"/>
        </w:rPr>
        <w:t xml:space="preserve"> </w:t>
      </w:r>
    </w:p>
    <w:p w14:paraId="25E500B3" w14:textId="77777777" w:rsidR="00E50B19" w:rsidRPr="009A0A82" w:rsidRDefault="00E50B19" w:rsidP="0090081F">
      <w:pPr>
        <w:autoSpaceDE w:val="0"/>
        <w:autoSpaceDN w:val="0"/>
        <w:adjustRightInd w:val="0"/>
        <w:spacing w:line="480" w:lineRule="auto"/>
        <w:rPr>
          <w:sz w:val="22"/>
          <w:szCs w:val="22"/>
          <w:vertAlign w:val="superscript"/>
          <w:lang w:val="es-ES"/>
        </w:rPr>
      </w:pPr>
    </w:p>
    <w:p w14:paraId="5D58AB11" w14:textId="1BE7D3F2" w:rsidR="00E50B19" w:rsidRPr="000412A1" w:rsidRDefault="00E50B19" w:rsidP="0090081F">
      <w:pPr>
        <w:autoSpaceDE w:val="0"/>
        <w:autoSpaceDN w:val="0"/>
        <w:adjustRightInd w:val="0"/>
        <w:spacing w:line="480" w:lineRule="auto"/>
        <w:rPr>
          <w:sz w:val="22"/>
          <w:szCs w:val="22"/>
        </w:rPr>
      </w:pPr>
      <w:r w:rsidRPr="000412A1">
        <w:rPr>
          <w:sz w:val="22"/>
          <w:szCs w:val="22"/>
        </w:rPr>
        <w:t>Chemical and Environmental Bioprocess Engineering Group, Natural Resources Institute (IRENA), University of León. Av. de Portugal 41, 24009, León, Spain.</w:t>
      </w:r>
    </w:p>
    <w:p w14:paraId="2DA7956D" w14:textId="77777777" w:rsidR="00E50B19" w:rsidRPr="000412A1" w:rsidRDefault="00E50B19" w:rsidP="00AA72EF">
      <w:pPr>
        <w:autoSpaceDE w:val="0"/>
        <w:autoSpaceDN w:val="0"/>
        <w:adjustRightInd w:val="0"/>
        <w:rPr>
          <w:sz w:val="22"/>
          <w:szCs w:val="22"/>
        </w:rPr>
      </w:pPr>
    </w:p>
    <w:p w14:paraId="111C3FCE" w14:textId="77777777" w:rsidR="00E50B19" w:rsidRPr="000412A1" w:rsidRDefault="00E50B19" w:rsidP="00AA72EF">
      <w:pPr>
        <w:autoSpaceDE w:val="0"/>
        <w:autoSpaceDN w:val="0"/>
        <w:adjustRightInd w:val="0"/>
        <w:rPr>
          <w:sz w:val="22"/>
          <w:szCs w:val="22"/>
        </w:rPr>
      </w:pPr>
    </w:p>
    <w:p w14:paraId="03C88713" w14:textId="2DD8B389" w:rsidR="00E50B19" w:rsidRPr="000412A1" w:rsidRDefault="00E50B19" w:rsidP="00AA72EF">
      <w:pPr>
        <w:autoSpaceDE w:val="0"/>
        <w:autoSpaceDN w:val="0"/>
        <w:adjustRightInd w:val="0"/>
        <w:rPr>
          <w:i/>
          <w:sz w:val="22"/>
          <w:szCs w:val="22"/>
        </w:rPr>
      </w:pPr>
      <w:r w:rsidRPr="000412A1">
        <w:rPr>
          <w:sz w:val="22"/>
          <w:szCs w:val="22"/>
        </w:rPr>
        <w:t>e-mail</w:t>
      </w:r>
      <w:r w:rsidR="00692544" w:rsidRPr="000412A1">
        <w:rPr>
          <w:sz w:val="22"/>
          <w:szCs w:val="22"/>
        </w:rPr>
        <w:t xml:space="preserve"> of the correspondi</w:t>
      </w:r>
      <w:r w:rsidR="00723214" w:rsidRPr="000412A1">
        <w:rPr>
          <w:sz w:val="22"/>
          <w:szCs w:val="22"/>
        </w:rPr>
        <w:t>n</w:t>
      </w:r>
      <w:r w:rsidR="00692544" w:rsidRPr="000412A1">
        <w:rPr>
          <w:sz w:val="22"/>
          <w:szCs w:val="22"/>
        </w:rPr>
        <w:t>g author</w:t>
      </w:r>
      <w:r w:rsidRPr="000412A1">
        <w:rPr>
          <w:sz w:val="22"/>
          <w:szCs w:val="22"/>
        </w:rPr>
        <w:t xml:space="preserve">: </w:t>
      </w:r>
      <w:hyperlink r:id="rId9" w:history="1">
        <w:r w:rsidRPr="000412A1">
          <w:rPr>
            <w:rStyle w:val="Hipervnculo"/>
            <w:i/>
            <w:sz w:val="22"/>
            <w:szCs w:val="22"/>
          </w:rPr>
          <w:t>ejmartr@unileon.es</w:t>
        </w:r>
      </w:hyperlink>
    </w:p>
    <w:p w14:paraId="3EF29116" w14:textId="77777777" w:rsidR="00E50B19" w:rsidRPr="000412A1" w:rsidRDefault="00E50B19">
      <w:pPr>
        <w:autoSpaceDE w:val="0"/>
        <w:autoSpaceDN w:val="0"/>
        <w:adjustRightInd w:val="0"/>
        <w:spacing w:line="480" w:lineRule="auto"/>
        <w:rPr>
          <w:i/>
          <w:sz w:val="22"/>
          <w:szCs w:val="22"/>
        </w:rPr>
      </w:pPr>
    </w:p>
    <w:p w14:paraId="7AB4C0C5" w14:textId="77777777" w:rsidR="00E50B19" w:rsidRPr="000412A1" w:rsidRDefault="00E50B19">
      <w:pPr>
        <w:spacing w:line="480" w:lineRule="auto"/>
        <w:rPr>
          <w:b/>
          <w:bCs/>
          <w:sz w:val="22"/>
          <w:szCs w:val="22"/>
        </w:rPr>
      </w:pPr>
      <w:r w:rsidRPr="000412A1">
        <w:rPr>
          <w:b/>
          <w:bCs/>
          <w:sz w:val="22"/>
          <w:szCs w:val="22"/>
        </w:rPr>
        <w:t>Abstract</w:t>
      </w:r>
    </w:p>
    <w:p w14:paraId="22BEC3F3" w14:textId="3D9489BA" w:rsidR="00FC7B75" w:rsidRPr="000412A1" w:rsidRDefault="007F7A4B" w:rsidP="007F7A4B">
      <w:pPr>
        <w:spacing w:line="480" w:lineRule="auto"/>
        <w:rPr>
          <w:sz w:val="22"/>
          <w:szCs w:val="22"/>
        </w:rPr>
      </w:pPr>
      <w:r w:rsidRPr="000412A1">
        <w:rPr>
          <w:sz w:val="22"/>
          <w:szCs w:val="22"/>
        </w:rPr>
        <w:t>This study evaluates the effects of electro</w:t>
      </w:r>
      <w:r w:rsidR="00723214" w:rsidRPr="000412A1">
        <w:rPr>
          <w:sz w:val="22"/>
          <w:szCs w:val="22"/>
        </w:rPr>
        <w:t>-</w:t>
      </w:r>
      <w:r w:rsidRPr="000412A1">
        <w:rPr>
          <w:sz w:val="22"/>
          <w:szCs w:val="22"/>
        </w:rPr>
        <w:t xml:space="preserve">oxidation </w:t>
      </w:r>
      <w:r w:rsidR="00421B59" w:rsidRPr="000412A1">
        <w:rPr>
          <w:sz w:val="22"/>
          <w:szCs w:val="22"/>
        </w:rPr>
        <w:t>as a mean</w:t>
      </w:r>
      <w:r w:rsidR="008F1292" w:rsidRPr="000412A1">
        <w:rPr>
          <w:sz w:val="22"/>
          <w:szCs w:val="22"/>
        </w:rPr>
        <w:t>s</w:t>
      </w:r>
      <w:r w:rsidR="00421B59" w:rsidRPr="000412A1">
        <w:rPr>
          <w:sz w:val="22"/>
          <w:szCs w:val="22"/>
        </w:rPr>
        <w:t xml:space="preserve"> for</w:t>
      </w:r>
      <w:r w:rsidR="00E219D9" w:rsidRPr="000412A1">
        <w:rPr>
          <w:sz w:val="22"/>
          <w:szCs w:val="22"/>
        </w:rPr>
        <w:t xml:space="preserve"> </w:t>
      </w:r>
      <w:r w:rsidR="00181357" w:rsidRPr="000412A1">
        <w:rPr>
          <w:sz w:val="22"/>
          <w:szCs w:val="22"/>
        </w:rPr>
        <w:t>enhanc</w:t>
      </w:r>
      <w:r w:rsidR="00E219D9" w:rsidRPr="000412A1">
        <w:rPr>
          <w:sz w:val="22"/>
          <w:szCs w:val="22"/>
        </w:rPr>
        <w:t>ing</w:t>
      </w:r>
      <w:r w:rsidR="00181357" w:rsidRPr="000412A1">
        <w:rPr>
          <w:sz w:val="22"/>
          <w:szCs w:val="22"/>
        </w:rPr>
        <w:t xml:space="preserve"> </w:t>
      </w:r>
      <w:r w:rsidRPr="000412A1">
        <w:rPr>
          <w:sz w:val="22"/>
          <w:szCs w:val="22"/>
        </w:rPr>
        <w:t>sludge stabilisation. Boron-doped diamond electrodes were used to treat waste</w:t>
      </w:r>
      <w:r w:rsidR="001A1FE2">
        <w:rPr>
          <w:sz w:val="22"/>
          <w:szCs w:val="22"/>
        </w:rPr>
        <w:t xml:space="preserve"> </w:t>
      </w:r>
      <w:r w:rsidRPr="000412A1">
        <w:rPr>
          <w:sz w:val="22"/>
          <w:szCs w:val="22"/>
        </w:rPr>
        <w:t xml:space="preserve">activated sludge and </w:t>
      </w:r>
      <w:r w:rsidR="007B492B" w:rsidRPr="000412A1">
        <w:rPr>
          <w:sz w:val="22"/>
          <w:szCs w:val="22"/>
        </w:rPr>
        <w:t xml:space="preserve">digestate </w:t>
      </w:r>
      <w:r w:rsidR="00DF146C" w:rsidRPr="000412A1">
        <w:rPr>
          <w:sz w:val="22"/>
          <w:szCs w:val="22"/>
        </w:rPr>
        <w:t xml:space="preserve">under </w:t>
      </w:r>
      <w:r w:rsidR="00AB4732" w:rsidRPr="000412A1">
        <w:rPr>
          <w:sz w:val="22"/>
          <w:szCs w:val="22"/>
        </w:rPr>
        <w:t>different operating parameters</w:t>
      </w:r>
      <w:r w:rsidRPr="000412A1">
        <w:rPr>
          <w:sz w:val="22"/>
          <w:szCs w:val="22"/>
        </w:rPr>
        <w:t xml:space="preserve"> (current density, conductivity,</w:t>
      </w:r>
      <w:r w:rsidR="00181357" w:rsidRPr="000412A1">
        <w:rPr>
          <w:sz w:val="22"/>
          <w:szCs w:val="22"/>
        </w:rPr>
        <w:t xml:space="preserve"> </w:t>
      </w:r>
      <w:r w:rsidRPr="000412A1">
        <w:rPr>
          <w:sz w:val="22"/>
          <w:szCs w:val="22"/>
        </w:rPr>
        <w:t>pH</w:t>
      </w:r>
      <w:r w:rsidR="000D2030" w:rsidRPr="000412A1">
        <w:rPr>
          <w:sz w:val="22"/>
          <w:szCs w:val="22"/>
        </w:rPr>
        <w:t>,</w:t>
      </w:r>
      <w:r w:rsidR="00C71404" w:rsidRPr="000412A1">
        <w:rPr>
          <w:sz w:val="22"/>
          <w:szCs w:val="22"/>
        </w:rPr>
        <w:t xml:space="preserve"> and </w:t>
      </w:r>
      <w:r w:rsidRPr="000412A1">
        <w:rPr>
          <w:sz w:val="22"/>
          <w:szCs w:val="22"/>
        </w:rPr>
        <w:t>time</w:t>
      </w:r>
      <w:r w:rsidR="001049F6" w:rsidRPr="000412A1">
        <w:rPr>
          <w:sz w:val="22"/>
          <w:szCs w:val="22"/>
        </w:rPr>
        <w:t>)</w:t>
      </w:r>
      <w:r w:rsidR="00DE187D" w:rsidRPr="000412A1">
        <w:rPr>
          <w:sz w:val="22"/>
          <w:szCs w:val="22"/>
        </w:rPr>
        <w:t>. Electr</w:t>
      </w:r>
      <w:r w:rsidR="001E7DCA" w:rsidRPr="000412A1">
        <w:rPr>
          <w:sz w:val="22"/>
          <w:szCs w:val="22"/>
        </w:rPr>
        <w:t>o-o</w:t>
      </w:r>
      <w:r w:rsidR="00DE187D" w:rsidRPr="000412A1">
        <w:rPr>
          <w:sz w:val="22"/>
          <w:szCs w:val="22"/>
        </w:rPr>
        <w:t xml:space="preserve">xidation runs </w:t>
      </w:r>
      <w:r w:rsidR="00825548" w:rsidRPr="000412A1">
        <w:rPr>
          <w:sz w:val="22"/>
          <w:szCs w:val="22"/>
        </w:rPr>
        <w:t>affected</w:t>
      </w:r>
      <w:r w:rsidR="00DE187D" w:rsidRPr="000412A1">
        <w:rPr>
          <w:sz w:val="22"/>
          <w:szCs w:val="22"/>
        </w:rPr>
        <w:t xml:space="preserve"> </w:t>
      </w:r>
      <w:r w:rsidRPr="000412A1">
        <w:rPr>
          <w:sz w:val="22"/>
          <w:szCs w:val="22"/>
        </w:rPr>
        <w:t xml:space="preserve">the solubilisation </w:t>
      </w:r>
      <w:r w:rsidR="00181357" w:rsidRPr="000412A1">
        <w:rPr>
          <w:sz w:val="22"/>
          <w:szCs w:val="22"/>
        </w:rPr>
        <w:t xml:space="preserve">of organic </w:t>
      </w:r>
      <w:r w:rsidR="00422FFD" w:rsidRPr="000412A1">
        <w:rPr>
          <w:sz w:val="22"/>
          <w:szCs w:val="22"/>
        </w:rPr>
        <w:t>matter</w:t>
      </w:r>
      <w:r w:rsidR="00DE187D" w:rsidRPr="000412A1">
        <w:rPr>
          <w:sz w:val="22"/>
          <w:szCs w:val="22"/>
        </w:rPr>
        <w:t>,</w:t>
      </w:r>
      <w:r w:rsidR="00274EEE" w:rsidRPr="000412A1">
        <w:rPr>
          <w:sz w:val="22"/>
          <w:szCs w:val="22"/>
        </w:rPr>
        <w:t xml:space="preserve"> which</w:t>
      </w:r>
      <w:r w:rsidR="00181357" w:rsidRPr="000412A1">
        <w:rPr>
          <w:sz w:val="22"/>
          <w:szCs w:val="22"/>
        </w:rPr>
        <w:t xml:space="preserve"> </w:t>
      </w:r>
      <w:r w:rsidR="00BC4A86" w:rsidRPr="000412A1">
        <w:rPr>
          <w:sz w:val="22"/>
          <w:szCs w:val="22"/>
        </w:rPr>
        <w:t>seemed to</w:t>
      </w:r>
      <w:r w:rsidR="00F06690" w:rsidRPr="000412A1">
        <w:rPr>
          <w:sz w:val="22"/>
          <w:szCs w:val="22"/>
        </w:rPr>
        <w:t xml:space="preserve"> </w:t>
      </w:r>
      <w:r w:rsidR="00274EEE" w:rsidRPr="000412A1">
        <w:rPr>
          <w:sz w:val="22"/>
          <w:szCs w:val="22"/>
        </w:rPr>
        <w:t>improve</w:t>
      </w:r>
      <w:r w:rsidR="00A347B2" w:rsidRPr="000412A1">
        <w:rPr>
          <w:sz w:val="22"/>
          <w:szCs w:val="22"/>
        </w:rPr>
        <w:t xml:space="preserve"> </w:t>
      </w:r>
      <w:r w:rsidRPr="000412A1">
        <w:rPr>
          <w:sz w:val="22"/>
          <w:szCs w:val="22"/>
        </w:rPr>
        <w:t xml:space="preserve">anaerobic digestion </w:t>
      </w:r>
      <w:r w:rsidR="000D2030" w:rsidRPr="000412A1">
        <w:rPr>
          <w:sz w:val="22"/>
          <w:szCs w:val="22"/>
        </w:rPr>
        <w:t>and</w:t>
      </w:r>
      <w:r w:rsidR="00181357" w:rsidRPr="000412A1">
        <w:rPr>
          <w:sz w:val="22"/>
          <w:szCs w:val="22"/>
        </w:rPr>
        <w:t xml:space="preserve"> </w:t>
      </w:r>
      <w:r w:rsidRPr="000412A1">
        <w:rPr>
          <w:sz w:val="22"/>
          <w:szCs w:val="22"/>
        </w:rPr>
        <w:t>dewaterability characteristics.</w:t>
      </w:r>
      <w:r w:rsidR="005426A2" w:rsidRPr="000412A1">
        <w:rPr>
          <w:sz w:val="22"/>
          <w:szCs w:val="22"/>
        </w:rPr>
        <w:t xml:space="preserve"> </w:t>
      </w:r>
    </w:p>
    <w:p w14:paraId="0CEC014F" w14:textId="460F364E" w:rsidR="00825548" w:rsidRPr="000412A1" w:rsidRDefault="00233AF0" w:rsidP="007F7A4B">
      <w:pPr>
        <w:spacing w:line="480" w:lineRule="auto"/>
        <w:rPr>
          <w:sz w:val="22"/>
          <w:szCs w:val="22"/>
        </w:rPr>
      </w:pPr>
      <w:r w:rsidRPr="000412A1">
        <w:rPr>
          <w:sz w:val="22"/>
          <w:szCs w:val="22"/>
        </w:rPr>
        <w:t xml:space="preserve">Among the tested parameters, </w:t>
      </w:r>
      <w:proofErr w:type="spellStart"/>
      <w:r w:rsidRPr="000412A1">
        <w:rPr>
          <w:sz w:val="22"/>
          <w:szCs w:val="22"/>
        </w:rPr>
        <w:t>p</w:t>
      </w:r>
      <w:r w:rsidR="00630CA2" w:rsidRPr="000412A1">
        <w:rPr>
          <w:sz w:val="22"/>
          <w:szCs w:val="22"/>
        </w:rPr>
        <w:t>retreating</w:t>
      </w:r>
      <w:proofErr w:type="spellEnd"/>
      <w:r w:rsidR="00630CA2" w:rsidRPr="000412A1">
        <w:rPr>
          <w:sz w:val="22"/>
          <w:szCs w:val="22"/>
        </w:rPr>
        <w:t xml:space="preserve"> sludge </w:t>
      </w:r>
      <w:r w:rsidR="00630CA2" w:rsidRPr="009A0A82">
        <w:rPr>
          <w:sz w:val="22"/>
          <w:szCs w:val="22"/>
        </w:rPr>
        <w:t>via</w:t>
      </w:r>
      <w:r w:rsidR="00630CA2" w:rsidRPr="000412A1">
        <w:rPr>
          <w:sz w:val="22"/>
          <w:szCs w:val="22"/>
        </w:rPr>
        <w:t xml:space="preserve"> electro</w:t>
      </w:r>
      <w:r w:rsidR="00C02204" w:rsidRPr="000412A1">
        <w:rPr>
          <w:sz w:val="22"/>
          <w:szCs w:val="22"/>
        </w:rPr>
        <w:t>-</w:t>
      </w:r>
      <w:r w:rsidR="00630CA2" w:rsidRPr="000412A1">
        <w:rPr>
          <w:sz w:val="22"/>
          <w:szCs w:val="22"/>
        </w:rPr>
        <w:t>oxidation under alkaline conditions (</w:t>
      </w:r>
      <w:r w:rsidR="000D2030" w:rsidRPr="000412A1">
        <w:rPr>
          <w:sz w:val="22"/>
          <w:szCs w:val="22"/>
        </w:rPr>
        <w:t>T</w:t>
      </w:r>
      <w:r w:rsidR="00630CA2" w:rsidRPr="000412A1">
        <w:rPr>
          <w:sz w:val="22"/>
          <w:szCs w:val="22"/>
        </w:rPr>
        <w:t xml:space="preserve">reatment T5) </w:t>
      </w:r>
      <w:r w:rsidR="00E12A80" w:rsidRPr="000412A1">
        <w:rPr>
          <w:sz w:val="22"/>
          <w:szCs w:val="22"/>
        </w:rPr>
        <w:t>resulted in</w:t>
      </w:r>
      <w:r w:rsidR="00630CA2" w:rsidRPr="000412A1">
        <w:rPr>
          <w:sz w:val="22"/>
          <w:szCs w:val="22"/>
        </w:rPr>
        <w:t xml:space="preserve"> </w:t>
      </w:r>
      <w:r w:rsidR="00274EAC" w:rsidRPr="000412A1">
        <w:rPr>
          <w:sz w:val="22"/>
          <w:szCs w:val="22"/>
        </w:rPr>
        <w:t xml:space="preserve">the highest </w:t>
      </w:r>
      <w:r w:rsidR="00E12A80" w:rsidRPr="000412A1">
        <w:rPr>
          <w:sz w:val="22"/>
          <w:szCs w:val="22"/>
        </w:rPr>
        <w:t>increase</w:t>
      </w:r>
      <w:r w:rsidR="00181357" w:rsidRPr="000412A1">
        <w:rPr>
          <w:sz w:val="22"/>
          <w:szCs w:val="22"/>
        </w:rPr>
        <w:t xml:space="preserve"> in </w:t>
      </w:r>
      <w:r w:rsidR="005426A2" w:rsidRPr="000412A1">
        <w:rPr>
          <w:sz w:val="22"/>
          <w:szCs w:val="22"/>
        </w:rPr>
        <w:t xml:space="preserve">soluble organic material </w:t>
      </w:r>
      <w:r w:rsidR="00E12A80" w:rsidRPr="000412A1">
        <w:rPr>
          <w:sz w:val="22"/>
          <w:szCs w:val="22"/>
        </w:rPr>
        <w:t>compared</w:t>
      </w:r>
      <w:r w:rsidR="00A96A4B" w:rsidRPr="000412A1">
        <w:rPr>
          <w:sz w:val="22"/>
          <w:szCs w:val="22"/>
        </w:rPr>
        <w:t xml:space="preserve"> to</w:t>
      </w:r>
      <w:r w:rsidR="000D2030" w:rsidRPr="000412A1">
        <w:rPr>
          <w:sz w:val="22"/>
          <w:szCs w:val="22"/>
        </w:rPr>
        <w:t xml:space="preserve"> that in the</w:t>
      </w:r>
      <w:r w:rsidR="00A96A4B" w:rsidRPr="000412A1">
        <w:rPr>
          <w:sz w:val="22"/>
          <w:szCs w:val="22"/>
        </w:rPr>
        <w:t xml:space="preserve"> control</w:t>
      </w:r>
      <w:r w:rsidR="00DE187D" w:rsidRPr="000412A1">
        <w:rPr>
          <w:sz w:val="22"/>
          <w:szCs w:val="22"/>
        </w:rPr>
        <w:t>,</w:t>
      </w:r>
      <w:r w:rsidR="00716845" w:rsidRPr="000412A1">
        <w:rPr>
          <w:sz w:val="22"/>
          <w:szCs w:val="22"/>
        </w:rPr>
        <w:t xml:space="preserve"> with</w:t>
      </w:r>
      <w:r w:rsidR="000D2030" w:rsidRPr="000412A1">
        <w:rPr>
          <w:sz w:val="22"/>
          <w:szCs w:val="22"/>
        </w:rPr>
        <w:t xml:space="preserve"> total</w:t>
      </w:r>
      <w:r w:rsidR="00B064A7">
        <w:rPr>
          <w:sz w:val="22"/>
          <w:szCs w:val="22"/>
        </w:rPr>
        <w:t xml:space="preserve"> </w:t>
      </w:r>
      <w:r w:rsidR="000D2030" w:rsidRPr="000412A1">
        <w:rPr>
          <w:sz w:val="22"/>
          <w:szCs w:val="22"/>
        </w:rPr>
        <w:t>organic</w:t>
      </w:r>
      <w:r w:rsidR="00B064A7">
        <w:rPr>
          <w:sz w:val="22"/>
          <w:szCs w:val="22"/>
        </w:rPr>
        <w:t xml:space="preserve"> </w:t>
      </w:r>
      <w:r w:rsidR="000D2030" w:rsidRPr="000412A1">
        <w:rPr>
          <w:sz w:val="22"/>
          <w:szCs w:val="22"/>
        </w:rPr>
        <w:t>carbon</w:t>
      </w:r>
      <w:r w:rsidR="00716845" w:rsidRPr="000412A1">
        <w:rPr>
          <w:sz w:val="22"/>
          <w:szCs w:val="22"/>
        </w:rPr>
        <w:t xml:space="preserve"> </w:t>
      </w:r>
      <w:r w:rsidR="000D2030" w:rsidRPr="000412A1">
        <w:rPr>
          <w:sz w:val="22"/>
          <w:szCs w:val="22"/>
        </w:rPr>
        <w:t>(</w:t>
      </w:r>
      <w:r w:rsidR="00825548" w:rsidRPr="000412A1">
        <w:rPr>
          <w:sz w:val="22"/>
          <w:szCs w:val="22"/>
        </w:rPr>
        <w:t>TOC</w:t>
      </w:r>
      <w:r w:rsidR="000D2030" w:rsidRPr="000412A1">
        <w:rPr>
          <w:sz w:val="22"/>
          <w:szCs w:val="22"/>
        </w:rPr>
        <w:t>)</w:t>
      </w:r>
      <w:r w:rsidR="007148AC" w:rsidRPr="000412A1">
        <w:rPr>
          <w:sz w:val="22"/>
          <w:szCs w:val="22"/>
        </w:rPr>
        <w:t xml:space="preserve"> </w:t>
      </w:r>
      <w:r w:rsidR="004C170C" w:rsidRPr="000412A1">
        <w:rPr>
          <w:sz w:val="22"/>
          <w:szCs w:val="22"/>
        </w:rPr>
        <w:t>and</w:t>
      </w:r>
      <w:r w:rsidR="000C1EFE" w:rsidRPr="000412A1">
        <w:rPr>
          <w:sz w:val="22"/>
          <w:szCs w:val="22"/>
        </w:rPr>
        <w:t xml:space="preserve"> soluble</w:t>
      </w:r>
      <w:r w:rsidR="000D2030" w:rsidRPr="000412A1">
        <w:rPr>
          <w:sz w:val="22"/>
          <w:szCs w:val="22"/>
        </w:rPr>
        <w:t xml:space="preserve"> chemical</w:t>
      </w:r>
      <w:r w:rsidR="00B064A7">
        <w:rPr>
          <w:sz w:val="22"/>
          <w:szCs w:val="22"/>
        </w:rPr>
        <w:t xml:space="preserve"> </w:t>
      </w:r>
      <w:r w:rsidR="000D2030" w:rsidRPr="000412A1">
        <w:rPr>
          <w:sz w:val="22"/>
          <w:szCs w:val="22"/>
        </w:rPr>
        <w:t>oxygen</w:t>
      </w:r>
      <w:r w:rsidR="00B064A7">
        <w:rPr>
          <w:sz w:val="22"/>
          <w:szCs w:val="22"/>
        </w:rPr>
        <w:t xml:space="preserve"> </w:t>
      </w:r>
      <w:r w:rsidR="000D2030" w:rsidRPr="000412A1">
        <w:rPr>
          <w:sz w:val="22"/>
          <w:szCs w:val="22"/>
        </w:rPr>
        <w:t>demand</w:t>
      </w:r>
      <w:r w:rsidR="000C1EFE" w:rsidRPr="000412A1">
        <w:rPr>
          <w:sz w:val="22"/>
          <w:szCs w:val="22"/>
        </w:rPr>
        <w:t xml:space="preserve"> </w:t>
      </w:r>
      <w:r w:rsidR="000D2030" w:rsidRPr="000412A1">
        <w:rPr>
          <w:sz w:val="22"/>
          <w:szCs w:val="22"/>
        </w:rPr>
        <w:t>(</w:t>
      </w:r>
      <w:r w:rsidR="007148AC" w:rsidRPr="000412A1">
        <w:rPr>
          <w:sz w:val="22"/>
          <w:szCs w:val="22"/>
        </w:rPr>
        <w:t>COD</w:t>
      </w:r>
      <w:r w:rsidR="000D2030" w:rsidRPr="000412A1">
        <w:rPr>
          <w:sz w:val="22"/>
          <w:szCs w:val="22"/>
        </w:rPr>
        <w:t>)</w:t>
      </w:r>
      <w:r w:rsidR="007148AC" w:rsidRPr="000412A1">
        <w:rPr>
          <w:sz w:val="22"/>
          <w:szCs w:val="22"/>
        </w:rPr>
        <w:t xml:space="preserve"> value</w:t>
      </w:r>
      <w:r w:rsidR="00825548" w:rsidRPr="000412A1">
        <w:rPr>
          <w:sz w:val="22"/>
          <w:szCs w:val="22"/>
        </w:rPr>
        <w:t>s</w:t>
      </w:r>
      <w:r w:rsidR="007148AC" w:rsidRPr="000412A1">
        <w:rPr>
          <w:sz w:val="22"/>
          <w:szCs w:val="22"/>
        </w:rPr>
        <w:t xml:space="preserve"> of </w:t>
      </w:r>
      <w:r w:rsidR="00716845" w:rsidRPr="000412A1">
        <w:rPr>
          <w:sz w:val="22"/>
          <w:szCs w:val="22"/>
        </w:rPr>
        <w:t xml:space="preserve">2753 and </w:t>
      </w:r>
      <w:r w:rsidR="007148AC" w:rsidRPr="000412A1">
        <w:rPr>
          <w:sz w:val="22"/>
          <w:szCs w:val="22"/>
        </w:rPr>
        <w:t>7819 mg L</w:t>
      </w:r>
      <w:r w:rsidR="00C02204" w:rsidRPr="000412A1">
        <w:rPr>
          <w:sz w:val="22"/>
          <w:szCs w:val="22"/>
          <w:vertAlign w:val="superscript"/>
        </w:rPr>
        <w:t>–</w:t>
      </w:r>
      <w:r w:rsidR="007148AC" w:rsidRPr="000412A1">
        <w:rPr>
          <w:sz w:val="22"/>
          <w:szCs w:val="22"/>
          <w:vertAlign w:val="superscript"/>
        </w:rPr>
        <w:t>1</w:t>
      </w:r>
      <w:r w:rsidR="000D2030" w:rsidRPr="000412A1">
        <w:rPr>
          <w:sz w:val="22"/>
          <w:szCs w:val="22"/>
        </w:rPr>
        <w:t>,</w:t>
      </w:r>
      <w:r w:rsidR="004C170C" w:rsidRPr="000412A1">
        <w:rPr>
          <w:sz w:val="22"/>
          <w:szCs w:val="22"/>
          <w:vertAlign w:val="subscript"/>
        </w:rPr>
        <w:t xml:space="preserve"> </w:t>
      </w:r>
      <w:r w:rsidR="004C170C" w:rsidRPr="000412A1">
        <w:rPr>
          <w:sz w:val="22"/>
          <w:szCs w:val="22"/>
        </w:rPr>
        <w:t>respectively</w:t>
      </w:r>
      <w:r w:rsidR="007148AC" w:rsidRPr="000412A1">
        <w:rPr>
          <w:sz w:val="22"/>
          <w:szCs w:val="22"/>
        </w:rPr>
        <w:t xml:space="preserve"> (</w:t>
      </w:r>
      <w:r w:rsidR="00E760E1" w:rsidRPr="000412A1">
        <w:rPr>
          <w:sz w:val="22"/>
          <w:szCs w:val="22"/>
        </w:rPr>
        <w:t xml:space="preserve">control </w:t>
      </w:r>
      <w:r w:rsidR="004C170C" w:rsidRPr="000412A1">
        <w:rPr>
          <w:sz w:val="22"/>
          <w:szCs w:val="22"/>
        </w:rPr>
        <w:t xml:space="preserve">TOC </w:t>
      </w:r>
      <w:r w:rsidR="001E592B" w:rsidRPr="000412A1">
        <w:rPr>
          <w:sz w:val="22"/>
          <w:szCs w:val="22"/>
        </w:rPr>
        <w:t xml:space="preserve">and COD </w:t>
      </w:r>
      <w:r w:rsidR="00181357" w:rsidRPr="000412A1">
        <w:rPr>
          <w:sz w:val="22"/>
          <w:szCs w:val="22"/>
        </w:rPr>
        <w:t xml:space="preserve">values </w:t>
      </w:r>
      <w:r w:rsidR="007148AC" w:rsidRPr="000412A1">
        <w:rPr>
          <w:sz w:val="22"/>
          <w:szCs w:val="22"/>
        </w:rPr>
        <w:t>were</w:t>
      </w:r>
      <w:r w:rsidR="00181357" w:rsidRPr="000412A1">
        <w:rPr>
          <w:sz w:val="22"/>
          <w:szCs w:val="22"/>
        </w:rPr>
        <w:t xml:space="preserve"> 385 and 1073 mg L</w:t>
      </w:r>
      <w:r w:rsidR="00C02204" w:rsidRPr="000412A1">
        <w:rPr>
          <w:sz w:val="22"/>
          <w:szCs w:val="22"/>
          <w:vertAlign w:val="superscript"/>
        </w:rPr>
        <w:t>–</w:t>
      </w:r>
      <w:r w:rsidR="00181357" w:rsidRPr="000412A1">
        <w:rPr>
          <w:sz w:val="22"/>
          <w:szCs w:val="22"/>
          <w:vertAlign w:val="superscript"/>
        </w:rPr>
        <w:t>1</w:t>
      </w:r>
      <w:r w:rsidR="007148AC" w:rsidRPr="000412A1">
        <w:rPr>
          <w:sz w:val="22"/>
          <w:szCs w:val="22"/>
        </w:rPr>
        <w:t xml:space="preserve">). This </w:t>
      </w:r>
      <w:proofErr w:type="spellStart"/>
      <w:r w:rsidR="007148AC" w:rsidRPr="000412A1">
        <w:rPr>
          <w:sz w:val="22"/>
          <w:szCs w:val="22"/>
        </w:rPr>
        <w:t>pretreatment</w:t>
      </w:r>
      <w:proofErr w:type="spellEnd"/>
      <w:r w:rsidR="007148AC" w:rsidRPr="000412A1">
        <w:rPr>
          <w:sz w:val="22"/>
          <w:szCs w:val="22"/>
        </w:rPr>
        <w:t xml:space="preserve"> also </w:t>
      </w:r>
      <w:r w:rsidR="00825548" w:rsidRPr="000412A1">
        <w:rPr>
          <w:sz w:val="22"/>
          <w:szCs w:val="22"/>
        </w:rPr>
        <w:t>achieved</w:t>
      </w:r>
      <w:r w:rsidR="000C1EFE" w:rsidRPr="000412A1">
        <w:rPr>
          <w:sz w:val="22"/>
          <w:szCs w:val="22"/>
        </w:rPr>
        <w:t xml:space="preserve"> a high</w:t>
      </w:r>
      <w:r w:rsidR="00E760E1" w:rsidRPr="000412A1">
        <w:rPr>
          <w:sz w:val="22"/>
          <w:szCs w:val="22"/>
        </w:rPr>
        <w:t xml:space="preserve"> </w:t>
      </w:r>
      <w:r w:rsidR="00FC7B75" w:rsidRPr="000412A1">
        <w:rPr>
          <w:sz w:val="22"/>
          <w:szCs w:val="22"/>
        </w:rPr>
        <w:t>hydrolysis rate (higher concentration in volatile fatty acids)</w:t>
      </w:r>
      <w:r w:rsidR="00E760E1" w:rsidRPr="000412A1">
        <w:rPr>
          <w:sz w:val="22"/>
          <w:szCs w:val="22"/>
        </w:rPr>
        <w:t xml:space="preserve"> with a concomitant increase</w:t>
      </w:r>
      <w:r w:rsidR="00FC7B75" w:rsidRPr="000412A1">
        <w:rPr>
          <w:sz w:val="22"/>
          <w:szCs w:val="22"/>
        </w:rPr>
        <w:t xml:space="preserve"> in </w:t>
      </w:r>
      <w:r w:rsidR="007148AC" w:rsidRPr="000412A1">
        <w:rPr>
          <w:sz w:val="22"/>
          <w:szCs w:val="22"/>
        </w:rPr>
        <w:t xml:space="preserve">methane yield </w:t>
      </w:r>
      <w:r w:rsidR="00E760E1" w:rsidRPr="000412A1">
        <w:rPr>
          <w:sz w:val="22"/>
          <w:szCs w:val="22"/>
        </w:rPr>
        <w:t>(approximately 1</w:t>
      </w:r>
      <w:r w:rsidR="00FC7B75" w:rsidRPr="000412A1">
        <w:rPr>
          <w:sz w:val="22"/>
          <w:szCs w:val="22"/>
        </w:rPr>
        <w:t>8%</w:t>
      </w:r>
      <w:r w:rsidR="00E760E1" w:rsidRPr="000412A1">
        <w:rPr>
          <w:sz w:val="22"/>
          <w:szCs w:val="22"/>
        </w:rPr>
        <w:t>)</w:t>
      </w:r>
      <w:r w:rsidR="00FC7B75" w:rsidRPr="000412A1">
        <w:rPr>
          <w:sz w:val="22"/>
          <w:szCs w:val="22"/>
        </w:rPr>
        <w:t xml:space="preserve">. </w:t>
      </w:r>
      <w:r w:rsidR="0017419F" w:rsidRPr="000412A1">
        <w:rPr>
          <w:sz w:val="22"/>
          <w:szCs w:val="22"/>
        </w:rPr>
        <w:t xml:space="preserve">On the other </w:t>
      </w:r>
      <w:r w:rsidR="003A57F9" w:rsidRPr="000412A1">
        <w:rPr>
          <w:sz w:val="22"/>
          <w:szCs w:val="22"/>
        </w:rPr>
        <w:t>hand,</w:t>
      </w:r>
      <w:r w:rsidR="0017419F" w:rsidRPr="000412A1">
        <w:rPr>
          <w:sz w:val="22"/>
          <w:szCs w:val="22"/>
        </w:rPr>
        <w:t xml:space="preserve"> the application of electr</w:t>
      </w:r>
      <w:r w:rsidR="001E7DCA" w:rsidRPr="000412A1">
        <w:rPr>
          <w:sz w:val="22"/>
          <w:szCs w:val="22"/>
        </w:rPr>
        <w:t>o-o</w:t>
      </w:r>
      <w:r w:rsidR="0017419F" w:rsidRPr="000412A1">
        <w:rPr>
          <w:sz w:val="22"/>
          <w:szCs w:val="22"/>
        </w:rPr>
        <w:t xml:space="preserve">xidation as </w:t>
      </w:r>
      <w:r w:rsidR="005F2E5A" w:rsidRPr="000412A1">
        <w:rPr>
          <w:sz w:val="22"/>
          <w:szCs w:val="22"/>
        </w:rPr>
        <w:t xml:space="preserve">a </w:t>
      </w:r>
      <w:r w:rsidR="0017419F" w:rsidRPr="000412A1">
        <w:rPr>
          <w:sz w:val="22"/>
          <w:szCs w:val="22"/>
        </w:rPr>
        <w:t>post-treatment for improving</w:t>
      </w:r>
      <w:r w:rsidR="000D2030" w:rsidRPr="000412A1">
        <w:rPr>
          <w:sz w:val="22"/>
          <w:szCs w:val="22"/>
        </w:rPr>
        <w:t xml:space="preserve"> digestate</w:t>
      </w:r>
      <w:r w:rsidR="0017419F" w:rsidRPr="000412A1">
        <w:rPr>
          <w:sz w:val="22"/>
          <w:szCs w:val="22"/>
        </w:rPr>
        <w:t xml:space="preserve"> dewaterability </w:t>
      </w:r>
      <w:r w:rsidR="00E760E1" w:rsidRPr="000412A1">
        <w:rPr>
          <w:sz w:val="22"/>
          <w:szCs w:val="22"/>
        </w:rPr>
        <w:t xml:space="preserve">resulted in </w:t>
      </w:r>
      <w:r w:rsidR="000C1EFE" w:rsidRPr="000412A1">
        <w:rPr>
          <w:sz w:val="22"/>
          <w:szCs w:val="22"/>
        </w:rPr>
        <w:t xml:space="preserve">noticeable </w:t>
      </w:r>
      <w:r w:rsidR="0017419F" w:rsidRPr="000412A1">
        <w:rPr>
          <w:sz w:val="22"/>
          <w:szCs w:val="22"/>
        </w:rPr>
        <w:t xml:space="preserve">changes in the release of water during drying </w:t>
      </w:r>
      <w:r w:rsidR="003E39F3" w:rsidRPr="000412A1">
        <w:rPr>
          <w:sz w:val="22"/>
          <w:szCs w:val="22"/>
        </w:rPr>
        <w:t xml:space="preserve">due to </w:t>
      </w:r>
      <w:r w:rsidR="005F2E5A" w:rsidRPr="000412A1">
        <w:rPr>
          <w:sz w:val="22"/>
          <w:szCs w:val="22"/>
        </w:rPr>
        <w:t>protein</w:t>
      </w:r>
      <w:r w:rsidR="005F2E5A" w:rsidRPr="000412A1" w:rsidDel="005F2E5A">
        <w:rPr>
          <w:sz w:val="22"/>
          <w:szCs w:val="22"/>
        </w:rPr>
        <w:t xml:space="preserve"> </w:t>
      </w:r>
      <w:r w:rsidR="005F2E5A" w:rsidRPr="000412A1">
        <w:rPr>
          <w:sz w:val="22"/>
          <w:szCs w:val="22"/>
        </w:rPr>
        <w:t>and aliphatic</w:t>
      </w:r>
      <w:r w:rsidR="001A1FE2">
        <w:rPr>
          <w:sz w:val="22"/>
          <w:szCs w:val="22"/>
        </w:rPr>
        <w:t xml:space="preserve"> </w:t>
      </w:r>
      <w:r w:rsidR="005F2E5A" w:rsidRPr="000412A1">
        <w:rPr>
          <w:sz w:val="22"/>
          <w:szCs w:val="22"/>
        </w:rPr>
        <w:t xml:space="preserve">matrix </w:t>
      </w:r>
      <w:r w:rsidR="003E39F3" w:rsidRPr="000412A1">
        <w:rPr>
          <w:sz w:val="22"/>
          <w:szCs w:val="22"/>
        </w:rPr>
        <w:t>modification of the sample.</w:t>
      </w:r>
    </w:p>
    <w:p w14:paraId="70D9C2BA" w14:textId="5E0B40A1" w:rsidR="005426A2" w:rsidRPr="000412A1" w:rsidRDefault="005426A2" w:rsidP="007F7A4B">
      <w:pPr>
        <w:spacing w:line="480" w:lineRule="auto"/>
        <w:rPr>
          <w:sz w:val="22"/>
          <w:szCs w:val="22"/>
        </w:rPr>
      </w:pPr>
    </w:p>
    <w:p w14:paraId="3E93EB16" w14:textId="77777777" w:rsidR="00FE1BDE" w:rsidRPr="000412A1" w:rsidRDefault="00FE1BDE">
      <w:pPr>
        <w:spacing w:line="480" w:lineRule="auto"/>
        <w:rPr>
          <w:sz w:val="22"/>
          <w:szCs w:val="22"/>
        </w:rPr>
      </w:pPr>
    </w:p>
    <w:p w14:paraId="272620C5" w14:textId="72BE1825" w:rsidR="00E50B19" w:rsidRPr="000412A1" w:rsidRDefault="00E50B19">
      <w:pPr>
        <w:spacing w:line="480" w:lineRule="auto"/>
        <w:rPr>
          <w:sz w:val="22"/>
          <w:szCs w:val="22"/>
        </w:rPr>
      </w:pPr>
      <w:r w:rsidRPr="000412A1">
        <w:rPr>
          <w:b/>
          <w:sz w:val="22"/>
          <w:szCs w:val="22"/>
        </w:rPr>
        <w:lastRenderedPageBreak/>
        <w:t>Keywords</w:t>
      </w:r>
      <w:r w:rsidR="000D2030" w:rsidRPr="000412A1">
        <w:rPr>
          <w:sz w:val="22"/>
          <w:szCs w:val="22"/>
        </w:rPr>
        <w:t>: e</w:t>
      </w:r>
      <w:r w:rsidR="004A034A" w:rsidRPr="000412A1">
        <w:rPr>
          <w:sz w:val="22"/>
          <w:szCs w:val="22"/>
        </w:rPr>
        <w:t>lectrochemical oxidation</w:t>
      </w:r>
      <w:r w:rsidR="000D2030" w:rsidRPr="000412A1">
        <w:rPr>
          <w:sz w:val="22"/>
          <w:szCs w:val="22"/>
        </w:rPr>
        <w:t>;</w:t>
      </w:r>
      <w:r w:rsidR="004A034A" w:rsidRPr="000412A1">
        <w:rPr>
          <w:sz w:val="22"/>
          <w:szCs w:val="22"/>
        </w:rPr>
        <w:t xml:space="preserve"> </w:t>
      </w:r>
      <w:r w:rsidR="009C21B2" w:rsidRPr="000412A1">
        <w:rPr>
          <w:sz w:val="22"/>
          <w:szCs w:val="22"/>
        </w:rPr>
        <w:t xml:space="preserve">sludge </w:t>
      </w:r>
      <w:r w:rsidR="005F026B" w:rsidRPr="000412A1">
        <w:rPr>
          <w:sz w:val="22"/>
          <w:szCs w:val="22"/>
        </w:rPr>
        <w:t>management</w:t>
      </w:r>
      <w:r w:rsidR="000D2030" w:rsidRPr="000412A1">
        <w:rPr>
          <w:sz w:val="22"/>
          <w:szCs w:val="22"/>
        </w:rPr>
        <w:t>;</w:t>
      </w:r>
      <w:r w:rsidR="009C21B2" w:rsidRPr="000412A1">
        <w:rPr>
          <w:sz w:val="22"/>
          <w:szCs w:val="22"/>
        </w:rPr>
        <w:t xml:space="preserve"> solubilisation</w:t>
      </w:r>
      <w:r w:rsidR="000D2030" w:rsidRPr="000412A1">
        <w:rPr>
          <w:sz w:val="22"/>
          <w:szCs w:val="22"/>
        </w:rPr>
        <w:t>;</w:t>
      </w:r>
      <w:r w:rsidR="009C21B2" w:rsidRPr="000412A1">
        <w:rPr>
          <w:sz w:val="22"/>
          <w:szCs w:val="22"/>
        </w:rPr>
        <w:t xml:space="preserve"> </w:t>
      </w:r>
      <w:r w:rsidR="004A034A" w:rsidRPr="000412A1">
        <w:rPr>
          <w:sz w:val="22"/>
          <w:szCs w:val="22"/>
        </w:rPr>
        <w:t>digestion</w:t>
      </w:r>
      <w:r w:rsidR="009C21B2" w:rsidRPr="000412A1">
        <w:rPr>
          <w:sz w:val="22"/>
          <w:szCs w:val="22"/>
        </w:rPr>
        <w:t xml:space="preserve"> </w:t>
      </w:r>
      <w:r w:rsidR="009C21B2" w:rsidRPr="000412A1">
        <w:rPr>
          <w:sz w:val="22"/>
        </w:rPr>
        <w:t>performance</w:t>
      </w:r>
      <w:r w:rsidR="000D2030" w:rsidRPr="000412A1">
        <w:rPr>
          <w:sz w:val="22"/>
          <w:szCs w:val="22"/>
        </w:rPr>
        <w:t xml:space="preserve">; </w:t>
      </w:r>
      <w:r w:rsidR="004A034A" w:rsidRPr="000412A1">
        <w:rPr>
          <w:sz w:val="22"/>
          <w:szCs w:val="22"/>
        </w:rPr>
        <w:t>dewaterability</w:t>
      </w:r>
      <w:r w:rsidR="000D2030" w:rsidRPr="000412A1">
        <w:rPr>
          <w:sz w:val="22"/>
          <w:szCs w:val="22"/>
        </w:rPr>
        <w:t>;</w:t>
      </w:r>
      <w:r w:rsidR="004A034A" w:rsidRPr="000412A1">
        <w:rPr>
          <w:sz w:val="22"/>
          <w:szCs w:val="22"/>
        </w:rPr>
        <w:t xml:space="preserve"> FTIR</w:t>
      </w:r>
    </w:p>
    <w:p w14:paraId="7FCAC3E0" w14:textId="77777777" w:rsidR="003F2E61" w:rsidRPr="000412A1" w:rsidRDefault="003F2E61">
      <w:pPr>
        <w:spacing w:line="480" w:lineRule="auto"/>
        <w:rPr>
          <w:b/>
          <w:sz w:val="22"/>
          <w:szCs w:val="22"/>
        </w:rPr>
      </w:pPr>
    </w:p>
    <w:p w14:paraId="360A38B6" w14:textId="7346D79E" w:rsidR="003F2E61" w:rsidRPr="000412A1" w:rsidRDefault="003F2E61">
      <w:pPr>
        <w:spacing w:line="480" w:lineRule="auto"/>
        <w:rPr>
          <w:b/>
          <w:sz w:val="22"/>
          <w:szCs w:val="22"/>
        </w:rPr>
      </w:pPr>
      <w:r w:rsidRPr="000412A1">
        <w:rPr>
          <w:b/>
          <w:sz w:val="22"/>
          <w:szCs w:val="22"/>
        </w:rPr>
        <w:t>1. Introduction</w:t>
      </w:r>
    </w:p>
    <w:p w14:paraId="35E6D359" w14:textId="77777777" w:rsidR="003F2E61" w:rsidRPr="000412A1" w:rsidRDefault="003F2E61">
      <w:pPr>
        <w:tabs>
          <w:tab w:val="left" w:pos="425"/>
        </w:tabs>
        <w:autoSpaceDE w:val="0"/>
        <w:autoSpaceDN w:val="0"/>
        <w:adjustRightInd w:val="0"/>
        <w:spacing w:line="480" w:lineRule="auto"/>
        <w:rPr>
          <w:sz w:val="22"/>
          <w:szCs w:val="22"/>
        </w:rPr>
      </w:pPr>
    </w:p>
    <w:p w14:paraId="5F006311" w14:textId="6493F99A" w:rsidR="00DE5597" w:rsidRPr="000412A1" w:rsidRDefault="0024337F">
      <w:pPr>
        <w:tabs>
          <w:tab w:val="left" w:pos="425"/>
        </w:tabs>
        <w:autoSpaceDE w:val="0"/>
        <w:autoSpaceDN w:val="0"/>
        <w:adjustRightInd w:val="0"/>
        <w:spacing w:line="480" w:lineRule="auto"/>
        <w:rPr>
          <w:sz w:val="22"/>
          <w:szCs w:val="22"/>
        </w:rPr>
      </w:pPr>
      <w:r w:rsidRPr="000412A1">
        <w:rPr>
          <w:sz w:val="22"/>
          <w:szCs w:val="22"/>
        </w:rPr>
        <w:t>W</w:t>
      </w:r>
      <w:r w:rsidR="00DE5597" w:rsidRPr="000412A1">
        <w:rPr>
          <w:sz w:val="22"/>
          <w:szCs w:val="22"/>
        </w:rPr>
        <w:t xml:space="preserve">astewater treatment based on </w:t>
      </w:r>
      <w:r w:rsidR="00F94981" w:rsidRPr="000412A1">
        <w:rPr>
          <w:sz w:val="22"/>
          <w:szCs w:val="22"/>
        </w:rPr>
        <w:t xml:space="preserve">the </w:t>
      </w:r>
      <w:r w:rsidR="00DE5597" w:rsidRPr="000412A1">
        <w:rPr>
          <w:sz w:val="22"/>
          <w:szCs w:val="22"/>
        </w:rPr>
        <w:t>activated</w:t>
      </w:r>
      <w:r w:rsidR="001A1FE2">
        <w:rPr>
          <w:sz w:val="22"/>
          <w:szCs w:val="22"/>
        </w:rPr>
        <w:t xml:space="preserve"> </w:t>
      </w:r>
      <w:r w:rsidR="00DE5597" w:rsidRPr="000412A1">
        <w:rPr>
          <w:sz w:val="22"/>
          <w:szCs w:val="22"/>
        </w:rPr>
        <w:t xml:space="preserve">sludge process is the most widely applied technology to </w:t>
      </w:r>
      <w:r w:rsidRPr="000412A1">
        <w:rPr>
          <w:sz w:val="22"/>
          <w:szCs w:val="22"/>
        </w:rPr>
        <w:t xml:space="preserve">prevent </w:t>
      </w:r>
      <w:r w:rsidR="00DE5597" w:rsidRPr="000412A1">
        <w:rPr>
          <w:sz w:val="22"/>
          <w:szCs w:val="22"/>
        </w:rPr>
        <w:t>water pollution</w:t>
      </w:r>
      <w:r w:rsidRPr="000412A1">
        <w:rPr>
          <w:sz w:val="22"/>
          <w:szCs w:val="22"/>
        </w:rPr>
        <w:t xml:space="preserve">. </w:t>
      </w:r>
      <w:r w:rsidR="00E50B19" w:rsidRPr="000412A1">
        <w:rPr>
          <w:sz w:val="22"/>
          <w:szCs w:val="22"/>
        </w:rPr>
        <w:t>The treatment and disposal of</w:t>
      </w:r>
      <w:r w:rsidR="0090081F" w:rsidRPr="000412A1">
        <w:rPr>
          <w:sz w:val="22"/>
          <w:szCs w:val="22"/>
        </w:rPr>
        <w:t xml:space="preserve"> biosolids </w:t>
      </w:r>
      <w:r w:rsidR="00E50B19" w:rsidRPr="000412A1">
        <w:rPr>
          <w:sz w:val="22"/>
          <w:szCs w:val="22"/>
        </w:rPr>
        <w:t>may represent up to 50% of plant operating costs</w:t>
      </w:r>
      <w:r w:rsidR="000D2030" w:rsidRPr="000412A1">
        <w:rPr>
          <w:sz w:val="22"/>
          <w:szCs w:val="22"/>
        </w:rPr>
        <w:t>,</w:t>
      </w:r>
      <w:r w:rsidR="001006BF" w:rsidRPr="000412A1">
        <w:rPr>
          <w:sz w:val="22"/>
          <w:szCs w:val="22"/>
        </w:rPr>
        <w:t xml:space="preserve"> and </w:t>
      </w:r>
      <w:r w:rsidR="000A08FA" w:rsidRPr="000412A1">
        <w:rPr>
          <w:sz w:val="22"/>
          <w:szCs w:val="22"/>
        </w:rPr>
        <w:t xml:space="preserve">it </w:t>
      </w:r>
      <w:r w:rsidR="0090081F" w:rsidRPr="000412A1">
        <w:rPr>
          <w:sz w:val="22"/>
          <w:szCs w:val="22"/>
        </w:rPr>
        <w:t xml:space="preserve">is </w:t>
      </w:r>
      <w:r w:rsidRPr="000412A1">
        <w:rPr>
          <w:sz w:val="22"/>
          <w:szCs w:val="22"/>
        </w:rPr>
        <w:t xml:space="preserve">estimated </w:t>
      </w:r>
      <w:r w:rsidR="000A08FA" w:rsidRPr="000412A1">
        <w:rPr>
          <w:sz w:val="22"/>
          <w:szCs w:val="22"/>
        </w:rPr>
        <w:t xml:space="preserve">that </w:t>
      </w:r>
      <w:r w:rsidRPr="000412A1">
        <w:rPr>
          <w:sz w:val="22"/>
          <w:szCs w:val="22"/>
        </w:rPr>
        <w:t xml:space="preserve">the </w:t>
      </w:r>
      <w:r w:rsidR="000A08FA" w:rsidRPr="000412A1">
        <w:rPr>
          <w:sz w:val="22"/>
          <w:szCs w:val="22"/>
        </w:rPr>
        <w:t xml:space="preserve">disposal </w:t>
      </w:r>
      <w:r w:rsidRPr="000412A1">
        <w:rPr>
          <w:sz w:val="22"/>
          <w:szCs w:val="22"/>
        </w:rPr>
        <w:t xml:space="preserve">of </w:t>
      </w:r>
      <w:r w:rsidR="003A5293" w:rsidRPr="000412A1">
        <w:rPr>
          <w:sz w:val="22"/>
          <w:szCs w:val="22"/>
        </w:rPr>
        <w:t xml:space="preserve">this </w:t>
      </w:r>
      <w:r w:rsidRPr="000412A1">
        <w:rPr>
          <w:sz w:val="22"/>
          <w:szCs w:val="22"/>
        </w:rPr>
        <w:t xml:space="preserve">sludge is </w:t>
      </w:r>
      <w:r w:rsidR="000A08FA" w:rsidRPr="000412A1">
        <w:rPr>
          <w:sz w:val="22"/>
          <w:szCs w:val="22"/>
        </w:rPr>
        <w:t xml:space="preserve">responsible for </w:t>
      </w:r>
      <w:r w:rsidR="00982C1A" w:rsidRPr="000412A1">
        <w:rPr>
          <w:sz w:val="22"/>
          <w:szCs w:val="22"/>
        </w:rPr>
        <w:t xml:space="preserve">almost </w:t>
      </w:r>
      <w:r w:rsidR="000A08FA" w:rsidRPr="000412A1">
        <w:rPr>
          <w:sz w:val="22"/>
          <w:szCs w:val="22"/>
        </w:rPr>
        <w:t>40% of total greenhouse</w:t>
      </w:r>
      <w:r w:rsidR="001A1FE2">
        <w:rPr>
          <w:sz w:val="22"/>
          <w:szCs w:val="22"/>
        </w:rPr>
        <w:t xml:space="preserve"> </w:t>
      </w:r>
      <w:r w:rsidR="000A08FA" w:rsidRPr="000412A1">
        <w:rPr>
          <w:sz w:val="22"/>
          <w:szCs w:val="22"/>
        </w:rPr>
        <w:t xml:space="preserve">gas emissions from </w:t>
      </w:r>
      <w:r w:rsidR="000D2030" w:rsidRPr="000412A1">
        <w:rPr>
          <w:sz w:val="22"/>
          <w:szCs w:val="22"/>
        </w:rPr>
        <w:t>wastewater</w:t>
      </w:r>
      <w:r w:rsidR="001A1FE2">
        <w:rPr>
          <w:sz w:val="22"/>
          <w:szCs w:val="22"/>
        </w:rPr>
        <w:t xml:space="preserve"> </w:t>
      </w:r>
      <w:r w:rsidR="000D2030" w:rsidRPr="000412A1">
        <w:rPr>
          <w:sz w:val="22"/>
          <w:szCs w:val="22"/>
        </w:rPr>
        <w:t>treatment plants (</w:t>
      </w:r>
      <w:r w:rsidR="000A08FA" w:rsidRPr="000412A1">
        <w:rPr>
          <w:sz w:val="22"/>
          <w:szCs w:val="22"/>
        </w:rPr>
        <w:t>WWTPs</w:t>
      </w:r>
      <w:r w:rsidR="000D2030" w:rsidRPr="000412A1">
        <w:rPr>
          <w:sz w:val="22"/>
          <w:szCs w:val="22"/>
        </w:rPr>
        <w:t>;</w:t>
      </w:r>
      <w:r w:rsidR="00E50B19" w:rsidRPr="000412A1">
        <w:rPr>
          <w:sz w:val="22"/>
          <w:szCs w:val="22"/>
        </w:rPr>
        <w:t xml:space="preserve"> </w:t>
      </w:r>
      <w:r w:rsidR="00E50B19" w:rsidRPr="000412A1">
        <w:rPr>
          <w:sz w:val="22"/>
          <w:szCs w:val="22"/>
        </w:rPr>
        <w:fldChar w:fldCharType="begin" w:fldLock="1"/>
      </w:r>
      <w:r w:rsidR="00A07857" w:rsidRPr="000412A1">
        <w:rPr>
          <w:sz w:val="22"/>
          <w:szCs w:val="22"/>
        </w:rPr>
        <w:instrText>ADDIN CSL_CITATION { "citationItems" : [ { "id" : "ITEM-1", "itemData" : { "DOI" : "10.1016/j.pecs.2008.06.002", "ISSN" : "03601285", "abstract" : "When treating municipal wastewater, the disposal of sludge is a problem of growing importance, representing up to 50% of the current operating costs of a wastewater treatment plant. Although different disposal routes are possible, anaerobic digestion plays an important role for its abilities to further transform organic matter into biogas (60\u201370vol% of methane, CH4), as thereby it also reduces the amount of final sludge solids for disposal whilst destroying most of the pathogens present in the sludge and limiting odour problems associated with residual putrescible matter. Anaerobic digestion thus optimises WWTP costs, its environmental footprint and is considered a major and essential part of a modern WWTP. The potential of using the biogas as energy source has long been widely recognised and current techniques are being developed to upgrade quality and to enhance energy use. The present paper extensively reviews the principles of anaerobic digestion, the process parameters and their interaction, the design methods, the biogas utilisation, the possible problems and potential pro-active cures, and the recent developments to reduce the impact of the problems. After having reviewed the basic principles and techniques of the anaerobic digestion process, modelling concepts will be assessed to delineate the dominant parameters. Hydrolysis is recognised as rate-limiting step in the complex digestion process. The microbiology of anaerobic digestion is complex and delicate, involving several bacterial groups, each of them having their own optimum working conditions. As will be shown, these groups are sensitive to and possibly inhibited by several process parameters such as pH, alkalinity, concentration of free ammonia, hydrogen, sodium, potassium, heavy metals, volatile fatty acids and others. To accelerate the digestion and enhance the production of biogas, various pre-treatments can be used to improve the rate-limiting hydrolysis. These treatments include mechanical, thermal, chemical and biological interventions to the feedstock. All pre-treatments result in a lysis or disintegration of sludge cells, thus releasing and solubilising intracellular material into the water phase and transforming refractory organic material into biodegradable species. Possible techniques to upgrade the biogas formed by removing CO2, H2S and excess moisture will be summarised. Special attention will be paid to the problems associated with siloxanes (SX) possibly present in the slud\u2026", "author" : [ { "dropping-particle" : "", "family" : "Appels", "given" : "Lise", "non-dropping-particle" : "", "parse-names" : false, "suffix" : "" }, { "dropping-particle" : "", "family" : "Baeyens", "given" : "Jan", "non-dropping-particle" : "", "parse-names" : false, "suffix" : "" }, { "dropping-particle" : "", "family" : "Degr\u00e8ve", "given" : "Jan", "non-dropping-particle" : "", "parse-names" : false, "suffix" : "" }, { "dropping-particle" : "", "family" : "Dewil", "given" : "Raf", "non-dropping-particle" : "", "parse-names" : false, "suffix" : "" } ], "container-title" : "Progress in Energy and Combustion Science", "id" : "ITEM-1", "issue" : "6", "issued" : { "date-parts" : [ [ "2008" ] ] }, "page" : "755-781", "title" : "Principles and potential of the anaerobic digestion of waste-activated sludge", "type" : "article-journal", "volume" : "34" }, "uris" : [ "http://www.mendeley.com/documents/?uuid=5c00269b-84ec-3d76-a1fc-1f14fdde0d85", "http://www.mendeley.com/documents/?uuid=e90052ef-762f-4cba-99b8-a34eef1e9c31" ] }, { "id" : "ITEM-2", "itemData" : { "DOI" : "10.1016/J.JCLEPRO.2019.04.240", "ISSN" : "0959-6526", "abstract" : "The use of wastewater sludge as a source for energy and resource recovery is a good alternative for its management considering the legislation requirements and the circular economy principles. Recognizing sludge as a resource, not as a waste, has made researchers consider the recovery of valuable components from sludge, such as carbon and nutrients. The energy that can be obtained from wastewater sludge may be a sustainable solution to fulfill present and future energy requirements. This review discusses about the types of sludge produced by wastewater treatment plants (WWTPs), the technologies that can be implemented in the water and sludge line to reduce the sludge amount, as well as the conventional treatment and disposal methods. Moreover, the technologies that can be used to recover resources and energy in the context of circular economy are also presented, with a focus on Technology Readiness Level (TRL) and a critical overview of positive and negative aspects in implementation. A detailed description of some urban biorefineries aimed at the recovery of cellulose and nutrients and the production of bioplastics is further reported. The study ends with a discussion on the need for an appropriate methodological approach when proposing \u201cend-of-waste\u201d criteria for wastewater sludge derived products.", "author" : [ { "dropping-particle" : "", "family" : "Gherghel", "given" : "Andreea", "non-dropping-particle" : "", "parse-names" : false, "suffix" : "" }, { "dropping-particle" : "", "family" : "Teodosiu", "given" : "Carmen", "non-dropping-particle" : "", "parse-names" : false, "suffix" : "" }, { "dropping-particle" : "", "family" : "Gisi", "given" : "Sabino", "non-dropping-particle" : "De", "parse-names" : false, "suffix" : "" } ], "container-title" : "Journal of Cleaner Production", "id" : "ITEM-2", "issued" : { "date-parts" : [ [ "2019", "8", "10" ] ] }, "page" : "244-263", "publisher" : "Elsevier", "title" : "A review on wastewater sludge valorisation and its challenges in the context of circular economy", "type" : "article-journal", "volume" : "228" }, "uris" : [ "http://www.mendeley.com/documents/?uuid=a4529978-d7e6-3366-89e4-c71c2555e712", "http://www.mendeley.com/documents/?uuid=fdf5857d-8fc5-405a-b3b5-c2cf1209cb22" ] } ], "mendeley" : { "formattedCitation" : "(Appels et al., 2008; Gherghel et al., 2019)", "plainTextFormattedCitation" : "(Appels et al., 2008; Gherghel et al., 2019)", "previouslyFormattedCitation" : "(Appels et al., 2008; Gherghel et al., 2019)" }, "properties" : {  }, "schema" : "https://github.com/citation-style-language/schema/raw/master/csl-citation.json" }</w:instrText>
      </w:r>
      <w:r w:rsidR="00E50B19" w:rsidRPr="000412A1">
        <w:rPr>
          <w:sz w:val="22"/>
          <w:szCs w:val="22"/>
        </w:rPr>
        <w:fldChar w:fldCharType="separate"/>
      </w:r>
      <w:r w:rsidR="00A61854" w:rsidRPr="000412A1">
        <w:rPr>
          <w:noProof/>
          <w:sz w:val="22"/>
          <w:szCs w:val="22"/>
        </w:rPr>
        <w:t>Appels et al., 2008; Gherghel et al., 2019)</w:t>
      </w:r>
      <w:r w:rsidR="00E50B19" w:rsidRPr="000412A1">
        <w:rPr>
          <w:sz w:val="22"/>
          <w:szCs w:val="22"/>
        </w:rPr>
        <w:fldChar w:fldCharType="end"/>
      </w:r>
      <w:r w:rsidR="00E50B19" w:rsidRPr="000412A1">
        <w:rPr>
          <w:sz w:val="22"/>
          <w:szCs w:val="22"/>
        </w:rPr>
        <w:t xml:space="preserve">. </w:t>
      </w:r>
      <w:r w:rsidR="00982C1A" w:rsidRPr="000412A1">
        <w:rPr>
          <w:sz w:val="22"/>
          <w:szCs w:val="22"/>
        </w:rPr>
        <w:t>As such, s</w:t>
      </w:r>
      <w:r w:rsidR="00DE5597" w:rsidRPr="000412A1">
        <w:rPr>
          <w:sz w:val="22"/>
          <w:szCs w:val="22"/>
        </w:rPr>
        <w:t xml:space="preserve">ustainable technologies </w:t>
      </w:r>
      <w:r w:rsidR="00982C1A" w:rsidRPr="000412A1">
        <w:rPr>
          <w:sz w:val="22"/>
          <w:szCs w:val="22"/>
        </w:rPr>
        <w:t xml:space="preserve">that promote valorisation options instead of land disposal </w:t>
      </w:r>
      <w:r w:rsidR="00DE5597" w:rsidRPr="000412A1">
        <w:rPr>
          <w:sz w:val="22"/>
          <w:szCs w:val="22"/>
        </w:rPr>
        <w:t xml:space="preserve">for sludge management </w:t>
      </w:r>
      <w:r w:rsidR="00982C1A" w:rsidRPr="000412A1">
        <w:rPr>
          <w:sz w:val="22"/>
          <w:szCs w:val="22"/>
        </w:rPr>
        <w:t xml:space="preserve">have </w:t>
      </w:r>
      <w:r w:rsidR="003A5293" w:rsidRPr="000412A1">
        <w:rPr>
          <w:sz w:val="22"/>
          <w:szCs w:val="22"/>
        </w:rPr>
        <w:t xml:space="preserve">great </w:t>
      </w:r>
      <w:r w:rsidR="00982C1A" w:rsidRPr="000412A1">
        <w:rPr>
          <w:sz w:val="22"/>
          <w:szCs w:val="22"/>
        </w:rPr>
        <w:t xml:space="preserve">potential </w:t>
      </w:r>
      <w:r w:rsidR="003A5293" w:rsidRPr="000412A1">
        <w:rPr>
          <w:sz w:val="22"/>
          <w:szCs w:val="22"/>
        </w:rPr>
        <w:t>for reducing the final disposal amount of sludge</w:t>
      </w:r>
      <w:r w:rsidR="000D2030" w:rsidRPr="000412A1">
        <w:rPr>
          <w:sz w:val="22"/>
          <w:szCs w:val="22"/>
        </w:rPr>
        <w:t>,</w:t>
      </w:r>
      <w:r w:rsidR="00DE5597" w:rsidRPr="000412A1">
        <w:rPr>
          <w:sz w:val="22"/>
          <w:szCs w:val="22"/>
        </w:rPr>
        <w:t xml:space="preserve"> and produc</w:t>
      </w:r>
      <w:r w:rsidR="003A5293" w:rsidRPr="000412A1">
        <w:rPr>
          <w:sz w:val="22"/>
          <w:szCs w:val="22"/>
        </w:rPr>
        <w:t>ing</w:t>
      </w:r>
      <w:r w:rsidR="00DE5597" w:rsidRPr="000412A1">
        <w:rPr>
          <w:sz w:val="22"/>
          <w:szCs w:val="22"/>
        </w:rPr>
        <w:t xml:space="preserve"> </w:t>
      </w:r>
      <w:r w:rsidR="00915FD1" w:rsidRPr="000412A1">
        <w:rPr>
          <w:sz w:val="22"/>
          <w:szCs w:val="22"/>
        </w:rPr>
        <w:t>better-quality</w:t>
      </w:r>
      <w:r w:rsidR="00DE5597" w:rsidRPr="000412A1">
        <w:rPr>
          <w:sz w:val="22"/>
          <w:szCs w:val="22"/>
        </w:rPr>
        <w:t xml:space="preserve"> </w:t>
      </w:r>
      <w:r w:rsidR="003A5293" w:rsidRPr="000412A1">
        <w:rPr>
          <w:sz w:val="22"/>
          <w:szCs w:val="22"/>
        </w:rPr>
        <w:t>material</w:t>
      </w:r>
      <w:r w:rsidR="000D2030" w:rsidRPr="000412A1">
        <w:rPr>
          <w:sz w:val="22"/>
          <w:szCs w:val="22"/>
        </w:rPr>
        <w:t>,</w:t>
      </w:r>
      <w:r w:rsidR="003A5293" w:rsidRPr="000412A1">
        <w:rPr>
          <w:sz w:val="22"/>
          <w:szCs w:val="22"/>
        </w:rPr>
        <w:t xml:space="preserve"> thus </w:t>
      </w:r>
      <w:r w:rsidR="00DE5597" w:rsidRPr="000412A1">
        <w:rPr>
          <w:sz w:val="22"/>
          <w:szCs w:val="22"/>
        </w:rPr>
        <w:t>redu</w:t>
      </w:r>
      <w:r w:rsidR="00915FD1" w:rsidRPr="000412A1">
        <w:rPr>
          <w:sz w:val="22"/>
          <w:szCs w:val="22"/>
        </w:rPr>
        <w:t>c</w:t>
      </w:r>
      <w:r w:rsidR="003A5293" w:rsidRPr="000412A1">
        <w:rPr>
          <w:sz w:val="22"/>
          <w:szCs w:val="22"/>
        </w:rPr>
        <w:t>ing</w:t>
      </w:r>
      <w:r w:rsidR="00DE5597" w:rsidRPr="000412A1">
        <w:rPr>
          <w:sz w:val="22"/>
          <w:szCs w:val="22"/>
        </w:rPr>
        <w:t xml:space="preserve"> the impact on the environment</w:t>
      </w:r>
      <w:r w:rsidR="00915FD1" w:rsidRPr="000412A1">
        <w:rPr>
          <w:sz w:val="22"/>
          <w:szCs w:val="22"/>
        </w:rPr>
        <w:t xml:space="preserve"> </w:t>
      </w:r>
      <w:r w:rsidR="00915FD1" w:rsidRPr="000412A1">
        <w:rPr>
          <w:sz w:val="22"/>
          <w:szCs w:val="22"/>
        </w:rPr>
        <w:fldChar w:fldCharType="begin" w:fldLock="1"/>
      </w:r>
      <w:r w:rsidR="00A07857" w:rsidRPr="000412A1">
        <w:rPr>
          <w:sz w:val="22"/>
          <w:szCs w:val="22"/>
        </w:rPr>
        <w:instrText>ADDIN CSL_CITATION { "citationItems" : [ { "id" : "ITEM-1", "itemData" : { "DOI" : "10.1016/B978-0-12-815907-1.00001-5", "ISBN" : "9780128159071", "abstract" : "Three principal categories of sludge can be identified: (1) primary, from mechanical and preliminary treatments, (2) secondary/activated, from biological treatments, and (3) tertiary/chemical, from final physical-chemical treatments. Sustainable procedures for sludge management require the reduction of the amount of sludge to the minimum compatible with the final destination, and the production of good quality sludge, thus reducing the impact on the environment and favoring the application of reuse options instead of disposal ones. The selection of the optimal processing sequence requires knowledge of the chemical, biological, and physical characteristics of sludge, so their determination under standardized conditions is a necessary tool to obtain reliable and comparable results. Standardized procedures for sludge characterization are also necessary to support the development of realistic and enforceable regulations. This chapter reports the amount of sludge produced in treatment plants and discusses the parameters to evaluate, with reference to the main practices for sludge management.", "author" : [ { "dropping-particle" : "", "family" : "Canziani", "given" : "Roberto", "non-dropping-particle" : "", "parse-names" : false, "suffix" : "" }, { "dropping-particle" : "", "family" : "Spinosa", "given" : "Ludovico", "non-dropping-particle" : "", "parse-names" : false, "suffix" : "" } ], "container-title" : "Industrial and Municipal Sludge", "id" : "ITEM-1", "issued" : { "date-parts" : [ [ "2019", "1", "1" ] ] }, "page" : "3-30", "publisher" : "Butterworth-Heinemann", "title" : "Sludge from wastewater treatment plants", "type" : "article-journal" }, "uris" : [ "http://www.mendeley.com/documents/?uuid=6a9bf8ad-db8b-33b0-9762-8ad89e2e7d57", "http://www.mendeley.com/documents/?uuid=08923424-45eb-4c71-a7c8-13d81077d46d" ] } ], "mendeley" : { "formattedCitation" : "(Canziani and Spinosa, 2019)", "plainTextFormattedCitation" : "(Canziani and Spinosa, 2019)", "previouslyFormattedCitation" : "(Canziani and Spinosa, 2019)" }, "properties" : {  }, "schema" : "https://github.com/citation-style-language/schema/raw/master/csl-citation.json" }</w:instrText>
      </w:r>
      <w:r w:rsidR="00915FD1" w:rsidRPr="000412A1">
        <w:rPr>
          <w:sz w:val="22"/>
          <w:szCs w:val="22"/>
        </w:rPr>
        <w:fldChar w:fldCharType="separate"/>
      </w:r>
      <w:r w:rsidR="00FD4989" w:rsidRPr="000412A1">
        <w:rPr>
          <w:noProof/>
          <w:sz w:val="22"/>
          <w:szCs w:val="22"/>
        </w:rPr>
        <w:t>(Canziani and Spinosa, 2019)</w:t>
      </w:r>
      <w:r w:rsidR="00915FD1" w:rsidRPr="000412A1">
        <w:rPr>
          <w:sz w:val="22"/>
          <w:szCs w:val="22"/>
        </w:rPr>
        <w:fldChar w:fldCharType="end"/>
      </w:r>
      <w:r w:rsidR="00915FD1" w:rsidRPr="000412A1">
        <w:rPr>
          <w:sz w:val="22"/>
          <w:szCs w:val="22"/>
        </w:rPr>
        <w:t>.</w:t>
      </w:r>
    </w:p>
    <w:p w14:paraId="25C4DD4A" w14:textId="77777777" w:rsidR="00DE5597" w:rsidRPr="000412A1" w:rsidRDefault="00DE5597" w:rsidP="00C012DA">
      <w:pPr>
        <w:tabs>
          <w:tab w:val="left" w:pos="425"/>
        </w:tabs>
        <w:autoSpaceDE w:val="0"/>
        <w:autoSpaceDN w:val="0"/>
        <w:adjustRightInd w:val="0"/>
        <w:spacing w:line="480" w:lineRule="auto"/>
        <w:rPr>
          <w:sz w:val="22"/>
          <w:szCs w:val="22"/>
        </w:rPr>
      </w:pPr>
    </w:p>
    <w:p w14:paraId="141E8DD8" w14:textId="1F917F9A" w:rsidR="00FB36E6" w:rsidRPr="000412A1" w:rsidRDefault="00915FD1" w:rsidP="00FB36E6">
      <w:pPr>
        <w:tabs>
          <w:tab w:val="left" w:pos="425"/>
        </w:tabs>
        <w:autoSpaceDE w:val="0"/>
        <w:autoSpaceDN w:val="0"/>
        <w:adjustRightInd w:val="0"/>
        <w:spacing w:line="480" w:lineRule="auto"/>
        <w:rPr>
          <w:strike/>
          <w:sz w:val="22"/>
          <w:szCs w:val="22"/>
        </w:rPr>
      </w:pPr>
      <w:r w:rsidRPr="000412A1">
        <w:rPr>
          <w:sz w:val="22"/>
          <w:szCs w:val="22"/>
        </w:rPr>
        <w:t>A</w:t>
      </w:r>
      <w:r w:rsidR="00D55186" w:rsidRPr="000412A1">
        <w:rPr>
          <w:sz w:val="22"/>
          <w:szCs w:val="22"/>
        </w:rPr>
        <w:t xml:space="preserve">naerobic digestion </w:t>
      </w:r>
      <w:r w:rsidRPr="000412A1">
        <w:rPr>
          <w:sz w:val="22"/>
          <w:szCs w:val="22"/>
        </w:rPr>
        <w:t xml:space="preserve">is </w:t>
      </w:r>
      <w:r w:rsidR="00FC03A0" w:rsidRPr="000412A1">
        <w:rPr>
          <w:sz w:val="22"/>
          <w:szCs w:val="22"/>
        </w:rPr>
        <w:t xml:space="preserve">a well-known </w:t>
      </w:r>
      <w:r w:rsidR="0090081F" w:rsidRPr="000412A1">
        <w:rPr>
          <w:sz w:val="22"/>
          <w:szCs w:val="22"/>
        </w:rPr>
        <w:t xml:space="preserve">and </w:t>
      </w:r>
      <w:r w:rsidR="00FC03A0" w:rsidRPr="000412A1">
        <w:rPr>
          <w:sz w:val="22"/>
          <w:szCs w:val="22"/>
        </w:rPr>
        <w:t>effective process for sludge stabilisation and valorisation.</w:t>
      </w:r>
      <w:r w:rsidRPr="000412A1">
        <w:rPr>
          <w:sz w:val="22"/>
          <w:szCs w:val="22"/>
        </w:rPr>
        <w:t xml:space="preserve"> </w:t>
      </w:r>
      <w:r w:rsidR="00E50B19" w:rsidRPr="000412A1">
        <w:rPr>
          <w:sz w:val="22"/>
          <w:szCs w:val="22"/>
        </w:rPr>
        <w:t>Anaerobic digesters in WWTPs usually treat a mixture of primary and secondary (waste</w:t>
      </w:r>
      <w:r w:rsidR="001A1FE2">
        <w:rPr>
          <w:sz w:val="22"/>
          <w:szCs w:val="22"/>
        </w:rPr>
        <w:t xml:space="preserve"> </w:t>
      </w:r>
      <w:r w:rsidR="00E50B19" w:rsidRPr="000412A1">
        <w:rPr>
          <w:sz w:val="22"/>
          <w:szCs w:val="22"/>
        </w:rPr>
        <w:t xml:space="preserve">activated) sludge. </w:t>
      </w:r>
      <w:r w:rsidR="00887DB9" w:rsidRPr="000412A1">
        <w:rPr>
          <w:sz w:val="22"/>
          <w:szCs w:val="22"/>
        </w:rPr>
        <w:t>Waste</w:t>
      </w:r>
      <w:r w:rsidR="001A1FE2">
        <w:rPr>
          <w:sz w:val="22"/>
          <w:szCs w:val="22"/>
        </w:rPr>
        <w:t xml:space="preserve"> </w:t>
      </w:r>
      <w:r w:rsidR="00887DB9" w:rsidRPr="000412A1">
        <w:rPr>
          <w:sz w:val="22"/>
          <w:szCs w:val="22"/>
        </w:rPr>
        <w:t>activated sludge (WAS) consists of filamentous micr</w:t>
      </w:r>
      <w:r w:rsidR="001E7DCA" w:rsidRPr="000412A1">
        <w:rPr>
          <w:sz w:val="22"/>
          <w:szCs w:val="22"/>
        </w:rPr>
        <w:t>o-o</w:t>
      </w:r>
      <w:r w:rsidR="00887DB9" w:rsidRPr="000412A1">
        <w:rPr>
          <w:sz w:val="22"/>
          <w:szCs w:val="22"/>
        </w:rPr>
        <w:t>rganism flocs, ionic components, colloids, mineral particles</w:t>
      </w:r>
      <w:r w:rsidR="000D2030" w:rsidRPr="000412A1">
        <w:rPr>
          <w:sz w:val="22"/>
          <w:szCs w:val="22"/>
        </w:rPr>
        <w:t>,</w:t>
      </w:r>
      <w:r w:rsidR="00887DB9" w:rsidRPr="000412A1">
        <w:rPr>
          <w:sz w:val="22"/>
          <w:szCs w:val="22"/>
        </w:rPr>
        <w:t xml:space="preserve"> and extracellular polymeric substances (EPS</w:t>
      </w:r>
      <w:r w:rsidR="000D2030" w:rsidRPr="000412A1">
        <w:rPr>
          <w:sz w:val="22"/>
          <w:szCs w:val="22"/>
        </w:rPr>
        <w:t>;</w:t>
      </w:r>
      <w:r w:rsidR="00887DB9" w:rsidRPr="000412A1">
        <w:rPr>
          <w:sz w:val="22"/>
          <w:szCs w:val="22"/>
        </w:rPr>
        <w:t xml:space="preserve"> </w:t>
      </w:r>
      <w:r w:rsidR="00887DB9" w:rsidRPr="000412A1">
        <w:rPr>
          <w:sz w:val="22"/>
          <w:szCs w:val="22"/>
        </w:rPr>
        <w:fldChar w:fldCharType="begin" w:fldLock="1"/>
      </w:r>
      <w:r w:rsidR="00A07857" w:rsidRPr="000412A1">
        <w:rPr>
          <w:sz w:val="22"/>
          <w:szCs w:val="22"/>
        </w:rPr>
        <w:instrText>ADDIN CSL_CITATION { "citationItems" : [ { "id" : "ITEM-1", "itemData" : { "DOI" : "10.1016/j.proenv.2013.04.069", "ISSN" : "18780296", "abstract" : "The degradation of extracellular polymeric substances based on high-solid anaerobic digestion was investigated by gel filtration chromatography (GFC) and three-dimensional excitation and emission matrix (EEM) The organic matters of Extracellular Polymeric Substances (EPS) in the sludge decreased 24% and shifted from the tightly bound EPS (TB-EPS) fraction to the Slime fraction during anaerobic digestion. The raw sludge and the digestate had opposite molecular weights (MW) distribution in EPS fractions. From the fluorescence spectra result, tyrosine-like substances were converted to tryptophan-like substances, and more humic-like substance in Slime fration was produced with the reduction of the protein-like substance during anaerobic digestion.", "author" : [ { "dropping-particle" : "", "family" : "Dai", "given" : "Xiaohu", "non-dropping-particle" : "", "parse-names" : false, "suffix" : "" }, { "dropping-particle" : "", "family" : "Luo", "given" : "Fan", "non-dropping-particle" : "", "parse-names" : false, "suffix" : "" }, { "dropping-particle" : "", "family" : "Dai", "given" : "Lingling", "non-dropping-particle" : "", "parse-names" : false, "suffix" : "" }, { "dropping-particle" : "", "family" : "Dong", "given" : "Bin", "non-dropping-particle" : "", "parse-names" : false, "suffix" : "" } ], "container-title" : "Procedia Environmental Sciences", "id" : "ITEM-1", "issued" : { "date-parts" : [ [ "2013" ] ] }, "page" : "515-521", "publisher" : "Elsevier B.V.", "title" : "Degradation of Extracellular Polymeric Substances (EPS) in Anaerobic Digestion of Dewatered Sludge", "type" : "article-journal", "volume" : "18" }, "uris" : [ "http://www.mendeley.com/documents/?uuid=59db217b-465d-42c9-b212-3827839ab088", "http://www.mendeley.com/documents/?uuid=9d62ae6a-e36f-43e7-8ae6-652e7aeadd99", "http://www.mendeley.com/documents/?uuid=ced19fca-4d35-4972-a5fb-f4a68dc78cf3" ] }, { "id" : "ITEM-2", "itemData" : { "DOI" : "10.1016/S1001-0742(09)60132-7", "ISSN" : "10010742", "abstract" : "Effect of ultrasonic pretreatment on sludge dewaterability was determined and the fate of extracellular polymeric substances (EPS) matrix in mesophilic anaerobic digestion after ultrasonic pretreatment was studied. Characteristics of proteins (PN), polysaccharides (PS), excitation-emission matrix (EEM) fluorescence spectroscopy and molecular weight (MW) distribution of dissolved organic matters (DOM) in different EPS fractions were evaluated. The results showed that after ultrasonic pretreatment, the normalized capillary suction time (CST) decreased from 44.4 to 11.1 (sec\u00b7L)/g total suspended solids (TSS) during anaerobic digestion, indicating that sludge dewaterability was greatly improved. The normalized CST was significantly correlated with PN concentration (R 2 = 0.92, p &lt; 0.01) and the PN/PS ratio (R 2 = 0.84, p &lt; 0.01) in the loosely bound EPS (LB-EPS) fraction. Meanwhile, the average MW of DOM in the LBEPS and tightly bound EPS (TB-EPS) fractions also had a good correlation with the normalized CST (R 2 &gt; 0.66, p &lt; 0.01). According to EEM fluorescence spectroscopy, tryptophan-like substances intensities in the slime, LB-EPS and TB-EPS fractions were correlated with the normalized CST. The organic matters in the EPS matrix played an important role in influencing sludge dewaterability. \u00a9 2010 The Research Centre for Eco-Environmental Sciences, Chinese Academy of Sciences.", "author" : [ { "dropping-particle" : "", "family" : "Shao", "given" : "Liming", "non-dropping-particle" : "", "parse-names" : false, "suffix" : "" }, { "dropping-particle" : "", "family" : "Wang", "given" : "Guanzhao", "non-dropping-particle" : "", "parse-names" : false, "suffix" : "" }, { "dropping-particle" : "", "family" : "Xu", "given" : "Huacheng", "non-dropping-particle" : "", "parse-names" : false, "suffix" : "" }, { "dropping-particle" : "", "family" : "Yu", "given" : "Guanghui", "non-dropping-particle" : "", "parse-names" : false, "suffix" : "" }, { "dropping-particle" : "", "family" : "He", "given" : "Pinjing", "non-dropping-particle" : "", "parse-names" : false, "suffix" : "" } ], "container-title" : "Journal of Environmental Sciences", "id" : "ITEM-2", "issue" : "3", "issued" : { "date-parts" : [ [ "2010" ] ] }, "page" : "474-480", "publisher" : "The Research Centre for Eco-Environmental Sciences, Chinese Academy of Sciences", "title" : "Effects of ultrasonic pretreatment on sludge dewaterability and extracellular polymeric substances distribution in mesophilic anaerobic digestion", "type" : "article-journal", "volume" : "22" }, "uris" : [ "http://www.mendeley.com/documents/?uuid=a1c92b97-2a68-4573-bea6-781ea4cd51fb", "http://www.mendeley.com/documents/?uuid=a9d8b5b3-d8d9-4a15-b7a2-be7aa718f6d2" ] } ], "mendeley" : { "formattedCitation" : "(Dai et al., 2013; Shao et al., 2010)", "plainTextFormattedCitation" : "(Dai et al., 2013; Shao et al., 2010)", "previouslyFormattedCitation" : "(Dai et al., 2013; Shao et al., 2010)" }, "properties" : {  }, "schema" : "https://github.com/citation-style-language/schema/raw/master/csl-citation.json" }</w:instrText>
      </w:r>
      <w:r w:rsidR="00887DB9" w:rsidRPr="000412A1">
        <w:rPr>
          <w:sz w:val="22"/>
          <w:szCs w:val="22"/>
        </w:rPr>
        <w:fldChar w:fldCharType="separate"/>
      </w:r>
      <w:r w:rsidR="00887DB9" w:rsidRPr="000412A1">
        <w:rPr>
          <w:noProof/>
          <w:sz w:val="22"/>
          <w:szCs w:val="22"/>
        </w:rPr>
        <w:t>Dai et al., 2013; Shao et al., 2010)</w:t>
      </w:r>
      <w:r w:rsidR="00887DB9" w:rsidRPr="000412A1">
        <w:rPr>
          <w:sz w:val="22"/>
          <w:szCs w:val="22"/>
        </w:rPr>
        <w:fldChar w:fldCharType="end"/>
      </w:r>
      <w:r w:rsidR="00887DB9" w:rsidRPr="000412A1">
        <w:rPr>
          <w:sz w:val="22"/>
          <w:szCs w:val="22"/>
        </w:rPr>
        <w:t xml:space="preserve"> that form complex structure</w:t>
      </w:r>
      <w:r w:rsidR="000D2030" w:rsidRPr="000412A1">
        <w:rPr>
          <w:sz w:val="22"/>
          <w:szCs w:val="22"/>
        </w:rPr>
        <w:t>s that are</w:t>
      </w:r>
      <w:r w:rsidR="00887DB9" w:rsidRPr="000412A1" w:rsidDel="00887DB9">
        <w:rPr>
          <w:sz w:val="22"/>
          <w:szCs w:val="22"/>
        </w:rPr>
        <w:t xml:space="preserve"> </w:t>
      </w:r>
      <w:r w:rsidR="00887DB9" w:rsidRPr="000412A1">
        <w:rPr>
          <w:sz w:val="22"/>
          <w:szCs w:val="22"/>
        </w:rPr>
        <w:t xml:space="preserve">difficult to digest </w:t>
      </w:r>
      <w:r w:rsidR="00E50B19" w:rsidRPr="000412A1">
        <w:rPr>
          <w:sz w:val="22"/>
          <w:szCs w:val="22"/>
        </w:rPr>
        <w:fldChar w:fldCharType="begin" w:fldLock="1"/>
      </w:r>
      <w:r w:rsidR="00A07857" w:rsidRPr="000412A1">
        <w:rPr>
          <w:sz w:val="22"/>
          <w:szCs w:val="22"/>
        </w:rPr>
        <w:instrText>ADDIN CSL_CITATION { "citationItems" : [ { "id" : "ITEM-1", "itemData" : { "ISSN" : "0960-8524", "PMID" : "12139327", "abstract" : "The effect of ultrasound and gamma-irradiation used as pre-treatments for the anaerobic digestion of waste activated sludge at both mesophilic and thermophilic temperatures was examined. Untreated activated sludge was also subjected to anaerobic digestion at these temperatures as a control. The sonication time was 90 s using a Soniprep 150 (MSE Scientific Instruments) which operated at 23 kHz and had been adjusted to give an output of 47 W and the gamma-irradiation dose was 500 krad. The digesters were operated in a semi-continuous mode, being fed with fresh sludge every 24 h at hydraulic retention times (HRT) of 8, 10 and 12 days. Over the 24 h period the differences between the digesters, in terms of volatile solids (VS) reductions and biogas production, were not statistically significant for any particular set of conditions. Thermophilic digestion performed better than mesophilic digestion in terms of biogas production, VS reductions (except at HRT of 8 days) and specific methane yields and the optimum retention time was 10 days, at both temperatures. When gas production over the initial eight hours (probably the hydrolytic stage) was examined, it was found that the gas production rates for pre-treated sludges were higher than those for untreated sludges. This was most pronounced at thermophilic temperatures and a HRT of 10 days. Sonication did not affect the numbers of faecal coliforms in the sludge. However, gamma-radiation caused a 3-log reduction and, when coupled with mesophilic digestion, gave a product which contained &lt; 100 g(-1) TS. Thermophilic anaerobic digestion produced sludges which contained &lt; 1 g(-1) TS irrespective of any pre-treatment.", "author" : [ { "dropping-particle" : "", "family" : "Lafitte-Trouqu\u00e9", "given" : "S", "non-dropping-particle" : "", "parse-names" : false, "suffix" : "" }, { "dropping-particle" : "", "family" : "Forster", "given" : "C F", "non-dropping-particle" : "", "parse-names" : false, "suffix" : "" } ], "container-title" : "Bioresource technology", "id" : "ITEM-1", "issue" : "2", "issued" : { "date-parts" : [ [ "2002" ] ] }, "page" : "113-118", "title" : "The use of ultrasound and gamma-irradiation as pre-treatments for the anaerobic digestion of waste activated sludge at mesophilic and thermophilic temperatures.", "type" : "article-journal", "volume" : "84" }, "uris" : [ "http://www.mendeley.com/documents/?uuid=8278f4b1-3d0a-4304-92cb-3fdf38c50a95", "http://www.mendeley.com/documents/?uuid=64638fcb-0741-45ff-b8c3-cf249e35102f", "http://www.mendeley.com/documents/?uuid=642adcd3-6537-4c92-8f46-39ecc0d5ecb9" ] } ], "mendeley" : { "formattedCitation" : "(Lafitte-Trouqu\u00e9 and Forster, 2002)", "plainTextFormattedCitation" : "(Lafitte-Trouqu\u00e9 and Forster, 2002)", "previouslyFormattedCitation" : "(Lafitte-Trouqu\u00e9 and Forster, 2002)" }, "properties" : {  }, "schema" : "https://github.com/citation-style-language/schema/raw/master/csl-citation.json" }</w:instrText>
      </w:r>
      <w:r w:rsidR="00E50B19" w:rsidRPr="000412A1">
        <w:rPr>
          <w:sz w:val="22"/>
          <w:szCs w:val="22"/>
        </w:rPr>
        <w:fldChar w:fldCharType="separate"/>
      </w:r>
      <w:r w:rsidR="00FD4989" w:rsidRPr="000412A1">
        <w:rPr>
          <w:noProof/>
          <w:sz w:val="22"/>
          <w:szCs w:val="22"/>
        </w:rPr>
        <w:t>(Lafitte-Trouqué and Forster, 2002)</w:t>
      </w:r>
      <w:r w:rsidR="00E50B19" w:rsidRPr="000412A1">
        <w:rPr>
          <w:sz w:val="22"/>
          <w:szCs w:val="22"/>
        </w:rPr>
        <w:fldChar w:fldCharType="end"/>
      </w:r>
      <w:r w:rsidR="0024612E" w:rsidRPr="000412A1">
        <w:rPr>
          <w:sz w:val="22"/>
          <w:szCs w:val="22"/>
        </w:rPr>
        <w:t>.</w:t>
      </w:r>
      <w:r w:rsidR="00985EBB" w:rsidRPr="000412A1">
        <w:rPr>
          <w:sz w:val="22"/>
          <w:szCs w:val="22"/>
        </w:rPr>
        <w:t xml:space="preserve"> </w:t>
      </w:r>
    </w:p>
    <w:p w14:paraId="1DD100B1" w14:textId="77777777" w:rsidR="004A034A" w:rsidRPr="000412A1" w:rsidRDefault="004A034A" w:rsidP="00C012DA">
      <w:pPr>
        <w:tabs>
          <w:tab w:val="left" w:pos="425"/>
        </w:tabs>
        <w:autoSpaceDE w:val="0"/>
        <w:autoSpaceDN w:val="0"/>
        <w:adjustRightInd w:val="0"/>
        <w:spacing w:line="480" w:lineRule="auto"/>
        <w:rPr>
          <w:sz w:val="22"/>
          <w:szCs w:val="22"/>
        </w:rPr>
      </w:pPr>
    </w:p>
    <w:p w14:paraId="748C98B6" w14:textId="5EBE2D5E" w:rsidR="004A034A" w:rsidRPr="009A0A82" w:rsidRDefault="0022682F" w:rsidP="00C012DA">
      <w:pPr>
        <w:tabs>
          <w:tab w:val="left" w:pos="425"/>
        </w:tabs>
        <w:autoSpaceDE w:val="0"/>
        <w:autoSpaceDN w:val="0"/>
        <w:adjustRightInd w:val="0"/>
        <w:spacing w:line="480" w:lineRule="auto"/>
        <w:rPr>
          <w:sz w:val="22"/>
          <w:szCs w:val="22"/>
          <w:lang w:val="fr-CA"/>
        </w:rPr>
      </w:pPr>
      <w:r w:rsidRPr="000412A1">
        <w:rPr>
          <w:sz w:val="22"/>
          <w:szCs w:val="22"/>
        </w:rPr>
        <w:t xml:space="preserve">Even though </w:t>
      </w:r>
      <w:r w:rsidR="0024337F" w:rsidRPr="000412A1">
        <w:rPr>
          <w:sz w:val="22"/>
          <w:szCs w:val="22"/>
        </w:rPr>
        <w:t xml:space="preserve">the organic content of sludge, measured as </w:t>
      </w:r>
      <w:r w:rsidRPr="000412A1">
        <w:rPr>
          <w:sz w:val="22"/>
          <w:szCs w:val="22"/>
        </w:rPr>
        <w:t xml:space="preserve">total </w:t>
      </w:r>
      <w:r w:rsidR="0024337F" w:rsidRPr="000412A1">
        <w:rPr>
          <w:sz w:val="22"/>
          <w:szCs w:val="22"/>
        </w:rPr>
        <w:t>chemical oxygen demand (</w:t>
      </w:r>
      <w:r w:rsidRPr="000412A1">
        <w:rPr>
          <w:sz w:val="22"/>
          <w:szCs w:val="22"/>
        </w:rPr>
        <w:t>COD</w:t>
      </w:r>
      <w:r w:rsidR="0024337F" w:rsidRPr="000412A1">
        <w:rPr>
          <w:sz w:val="22"/>
          <w:szCs w:val="22"/>
        </w:rPr>
        <w:t>)</w:t>
      </w:r>
      <w:r w:rsidR="00D55186" w:rsidRPr="000412A1">
        <w:rPr>
          <w:sz w:val="22"/>
          <w:szCs w:val="22"/>
        </w:rPr>
        <w:t>,</w:t>
      </w:r>
      <w:r w:rsidRPr="000412A1">
        <w:rPr>
          <w:sz w:val="22"/>
          <w:szCs w:val="22"/>
        </w:rPr>
        <w:t xml:space="preserve"> is high, </w:t>
      </w:r>
      <w:r w:rsidR="00D55186" w:rsidRPr="000412A1">
        <w:rPr>
          <w:sz w:val="22"/>
          <w:szCs w:val="22"/>
        </w:rPr>
        <w:t xml:space="preserve">the </w:t>
      </w:r>
      <w:r w:rsidRPr="000412A1">
        <w:rPr>
          <w:sz w:val="22"/>
          <w:szCs w:val="22"/>
        </w:rPr>
        <w:t>soluble</w:t>
      </w:r>
      <w:r w:rsidR="00D55186" w:rsidRPr="000412A1">
        <w:rPr>
          <w:sz w:val="22"/>
          <w:szCs w:val="22"/>
        </w:rPr>
        <w:t xml:space="preserve"> fraction of COD is usually low, with </w:t>
      </w:r>
      <w:r w:rsidR="00CD35B1" w:rsidRPr="000412A1">
        <w:rPr>
          <w:sz w:val="22"/>
          <w:szCs w:val="22"/>
        </w:rPr>
        <w:t>the latter</w:t>
      </w:r>
      <w:r w:rsidR="00D55186" w:rsidRPr="000412A1">
        <w:rPr>
          <w:sz w:val="22"/>
          <w:szCs w:val="22"/>
        </w:rPr>
        <w:t xml:space="preserve"> being the organic material accessible to micr</w:t>
      </w:r>
      <w:r w:rsidR="001E7DCA" w:rsidRPr="000412A1">
        <w:rPr>
          <w:sz w:val="22"/>
          <w:szCs w:val="22"/>
        </w:rPr>
        <w:t>o-o</w:t>
      </w:r>
      <w:r w:rsidR="00D55186" w:rsidRPr="000412A1">
        <w:rPr>
          <w:sz w:val="22"/>
          <w:szCs w:val="22"/>
        </w:rPr>
        <w:t>rganisms</w:t>
      </w:r>
      <w:r w:rsidR="00AF51E4" w:rsidRPr="000412A1">
        <w:rPr>
          <w:sz w:val="22"/>
          <w:szCs w:val="22"/>
        </w:rPr>
        <w:t xml:space="preserve"> and</w:t>
      </w:r>
      <w:r w:rsidR="00D55186" w:rsidRPr="000412A1">
        <w:rPr>
          <w:sz w:val="22"/>
          <w:szCs w:val="22"/>
        </w:rPr>
        <w:t xml:space="preserve"> responsible </w:t>
      </w:r>
      <w:r w:rsidR="00250002" w:rsidRPr="000412A1">
        <w:rPr>
          <w:sz w:val="22"/>
          <w:szCs w:val="22"/>
        </w:rPr>
        <w:t xml:space="preserve">for </w:t>
      </w:r>
      <w:r w:rsidR="00AF51E4" w:rsidRPr="000412A1">
        <w:rPr>
          <w:sz w:val="22"/>
          <w:szCs w:val="22"/>
        </w:rPr>
        <w:t xml:space="preserve">initiating </w:t>
      </w:r>
      <w:r w:rsidR="00D55186" w:rsidRPr="000412A1">
        <w:rPr>
          <w:sz w:val="22"/>
          <w:szCs w:val="22"/>
        </w:rPr>
        <w:t xml:space="preserve">the </w:t>
      </w:r>
      <w:r w:rsidRPr="000412A1">
        <w:rPr>
          <w:sz w:val="22"/>
          <w:szCs w:val="22"/>
        </w:rPr>
        <w:t>acidogenesis</w:t>
      </w:r>
      <w:r w:rsidR="00D55186" w:rsidRPr="000412A1">
        <w:rPr>
          <w:sz w:val="22"/>
          <w:szCs w:val="22"/>
        </w:rPr>
        <w:t xml:space="preserve"> phase. Thus</w:t>
      </w:r>
      <w:r w:rsidR="006E122B" w:rsidRPr="000412A1">
        <w:rPr>
          <w:sz w:val="22"/>
          <w:szCs w:val="22"/>
        </w:rPr>
        <w:t>,</w:t>
      </w:r>
      <w:r w:rsidR="003F0E9F" w:rsidRPr="000412A1">
        <w:rPr>
          <w:sz w:val="22"/>
          <w:szCs w:val="22"/>
        </w:rPr>
        <w:t xml:space="preserve"> </w:t>
      </w:r>
      <w:r w:rsidR="00C02204" w:rsidRPr="000412A1">
        <w:rPr>
          <w:sz w:val="22"/>
          <w:szCs w:val="22"/>
        </w:rPr>
        <w:t xml:space="preserve">sludge </w:t>
      </w:r>
      <w:proofErr w:type="spellStart"/>
      <w:r w:rsidR="00E50B19" w:rsidRPr="000412A1">
        <w:rPr>
          <w:sz w:val="22"/>
          <w:szCs w:val="22"/>
        </w:rPr>
        <w:t>pretreatment</w:t>
      </w:r>
      <w:proofErr w:type="spellEnd"/>
      <w:r w:rsidR="00E50B19" w:rsidRPr="000412A1">
        <w:rPr>
          <w:sz w:val="22"/>
          <w:szCs w:val="22"/>
        </w:rPr>
        <w:t xml:space="preserve"> is required to rupture cell walls</w:t>
      </w:r>
      <w:r w:rsidR="00D55186" w:rsidRPr="000412A1">
        <w:rPr>
          <w:sz w:val="22"/>
          <w:szCs w:val="22"/>
        </w:rPr>
        <w:t xml:space="preserve"> and </w:t>
      </w:r>
      <w:r w:rsidR="00E50B19" w:rsidRPr="000412A1">
        <w:rPr>
          <w:sz w:val="22"/>
          <w:szCs w:val="22"/>
        </w:rPr>
        <w:t xml:space="preserve">facilitate the release of intracellular material into the aqueous phase </w:t>
      </w:r>
      <w:r w:rsidR="006E122B" w:rsidRPr="000412A1">
        <w:rPr>
          <w:sz w:val="22"/>
          <w:szCs w:val="22"/>
        </w:rPr>
        <w:t xml:space="preserve">for </w:t>
      </w:r>
      <w:r w:rsidR="00D55186" w:rsidRPr="000412A1">
        <w:rPr>
          <w:sz w:val="22"/>
          <w:szCs w:val="22"/>
        </w:rPr>
        <w:t>accelerat</w:t>
      </w:r>
      <w:r w:rsidR="006E122B" w:rsidRPr="000412A1">
        <w:rPr>
          <w:sz w:val="22"/>
          <w:szCs w:val="22"/>
        </w:rPr>
        <w:t>ing</w:t>
      </w:r>
      <w:r w:rsidR="00D55186" w:rsidRPr="000412A1">
        <w:rPr>
          <w:sz w:val="22"/>
          <w:szCs w:val="22"/>
        </w:rPr>
        <w:t xml:space="preserve"> </w:t>
      </w:r>
      <w:r w:rsidR="00E50B19" w:rsidRPr="000412A1">
        <w:rPr>
          <w:sz w:val="22"/>
          <w:szCs w:val="22"/>
        </w:rPr>
        <w:t>biodegradation and enhanc</w:t>
      </w:r>
      <w:r w:rsidR="006E122B" w:rsidRPr="000412A1">
        <w:rPr>
          <w:sz w:val="22"/>
          <w:szCs w:val="22"/>
        </w:rPr>
        <w:t>ing</w:t>
      </w:r>
      <w:r w:rsidR="00E50B19" w:rsidRPr="000412A1">
        <w:rPr>
          <w:sz w:val="22"/>
          <w:szCs w:val="22"/>
        </w:rPr>
        <w:t xml:space="preserve"> anaerobic digestion</w:t>
      </w:r>
      <w:r w:rsidR="00270FF6" w:rsidRPr="000412A1">
        <w:rPr>
          <w:sz w:val="22"/>
          <w:szCs w:val="22"/>
        </w:rPr>
        <w:t xml:space="preserve"> </w:t>
      </w:r>
      <w:r w:rsidR="00BC5A0D" w:rsidRPr="000412A1">
        <w:rPr>
          <w:sz w:val="22"/>
          <w:szCs w:val="22"/>
        </w:rPr>
        <w:fldChar w:fldCharType="begin" w:fldLock="1"/>
      </w:r>
      <w:r w:rsidR="00A07857" w:rsidRPr="000412A1">
        <w:rPr>
          <w:sz w:val="22"/>
          <w:szCs w:val="22"/>
        </w:rPr>
        <w:instrText>ADDIN CSL_CITATION { "citationItems" : [ { "id" : "ITEM-1", "itemData" : { "DOI" : "10.1016/S1389-1723(03)80028-2", "ISSN" : "1389-1723", "abstract" : "The purpose of this study was to enhance the efficiency of anaerobic digestion with waste activated sludge (WAS) by batch experiments. We studied the effects of various pretreatment methods (thermal, chemical, ultrasonic and thermochemical pretreatments) on the biogas production and pollutants reduction owing to solubilization enhancement, particle size reduction, increased soluble protein, and increased soluble COD. The thermochemical pretreatment gave the best results, i.e., the production of methane increased by more than 34.3% and soluble COD (SCOD) removal also increased by more than 67.8% over the control. In this case, the biogas production, methane production and the SCOD removal efficiency were about 5037 l biogas/m3 WAS, 3367 l methane/m3 WAS and 61.4%, respectively. Therefore, it is recognized that higher digestion efficiencies of the WAS were obtained through thermochemical pretreatment of the sludge.", "author" : [ { "dropping-particle" : "", "family" : "Kim", "given" : "Jeongsik", "non-dropping-particle" : "", "parse-names" : false, "suffix" : "" }, { "dropping-particle" : "", "family" : "Park", "given" : "Chulhwan", "non-dropping-particle" : "", "parse-names" : false, "suffix" : "" }, { "dropping-particle" : "", "family" : "Kim", "given" : "Tak-Hyun", "non-dropping-particle" : "", "parse-names" : false, "suffix" : "" }, { "dropping-particle" : "", "family" : "Lee", "given" : "Myunggu", "non-dropping-particle" : "", "parse-names" : false, "suffix" : "" }, { "dropping-particle" : "", "family" : "Kim", "given" : "Sangyong", "non-dropping-particle" : "", "parse-names" : false, "suffix" : "" }, { "dropping-particle" : "", "family" : "Kim", "given" : "Seung-Wook", "non-dropping-particle" : "", "parse-names" : false, "suffix" : "" }, { "dropping-particle" : "", "family" : "Lee", "given" : "Jinwon", "non-dropping-particle" : "", "parse-names" : false, "suffix" : "" } ], "container-title" : "Journal of Bioscience and Bioengineering", "id" : "ITEM-1", "issue" : "3", "issued" : { "date-parts" : [ [ "2003", "1", "1" ] ] }, "page" : "271-275", "publisher" : "Elsevier", "title" : "Effects of various pretreatments for enhanced anaerobic digestion with waste activated sludge", "type" : "article-journal", "volume" : "95" }, "uris" : [ "http://www.mendeley.com/documents/?uuid=77ce861b-2f1e-3569-8fcd-4e26650230c1", "http://www.mendeley.com/documents/?uuid=e3c40a03-30c6-4a36-a225-6f674c01ffbf" ] } ], "mendeley" : { "formattedCitation" : "(Kim et al., 2003)", "plainTextFormattedCitation" : "(Kim et al., 2003)", "previouslyFormattedCitation" : "(Kim et al., 2003)" }, "properties" : {  }, "schema" : "https://github.com/citation-style-language/schema/raw/master/csl-citation.json" }</w:instrText>
      </w:r>
      <w:r w:rsidR="00BC5A0D" w:rsidRPr="000412A1">
        <w:rPr>
          <w:sz w:val="22"/>
          <w:szCs w:val="22"/>
        </w:rPr>
        <w:fldChar w:fldCharType="separate"/>
      </w:r>
      <w:r w:rsidR="00FD4989" w:rsidRPr="000412A1">
        <w:rPr>
          <w:noProof/>
          <w:sz w:val="22"/>
          <w:szCs w:val="22"/>
        </w:rPr>
        <w:t>(Kim et al., 2003)</w:t>
      </w:r>
      <w:r w:rsidR="00BC5A0D" w:rsidRPr="000412A1">
        <w:rPr>
          <w:sz w:val="22"/>
          <w:szCs w:val="22"/>
        </w:rPr>
        <w:fldChar w:fldCharType="end"/>
      </w:r>
      <w:r w:rsidR="00E50B19" w:rsidRPr="000412A1">
        <w:rPr>
          <w:sz w:val="22"/>
          <w:szCs w:val="22"/>
        </w:rPr>
        <w:t>.</w:t>
      </w:r>
      <w:r w:rsidR="00D55186" w:rsidRPr="000412A1">
        <w:rPr>
          <w:sz w:val="22"/>
          <w:szCs w:val="22"/>
        </w:rPr>
        <w:t xml:space="preserve"> </w:t>
      </w:r>
      <w:r w:rsidR="006E122B" w:rsidRPr="000412A1">
        <w:rPr>
          <w:sz w:val="22"/>
          <w:szCs w:val="22"/>
        </w:rPr>
        <w:t>Subsequently, s</w:t>
      </w:r>
      <w:r w:rsidR="00E50B19" w:rsidRPr="000412A1">
        <w:rPr>
          <w:sz w:val="22"/>
          <w:szCs w:val="22"/>
        </w:rPr>
        <w:t>everal technologies, including mechanical, thermal, ultrasonic, microwave, enzymatic</w:t>
      </w:r>
      <w:r w:rsidR="00586EDE" w:rsidRPr="000412A1">
        <w:rPr>
          <w:sz w:val="22"/>
          <w:szCs w:val="22"/>
        </w:rPr>
        <w:t xml:space="preserve">, </w:t>
      </w:r>
      <w:r w:rsidR="00E50B19" w:rsidRPr="000412A1">
        <w:rPr>
          <w:sz w:val="22"/>
          <w:szCs w:val="22"/>
        </w:rPr>
        <w:t>chemical</w:t>
      </w:r>
      <w:r w:rsidR="000D2030" w:rsidRPr="000412A1">
        <w:rPr>
          <w:sz w:val="22"/>
          <w:szCs w:val="22"/>
        </w:rPr>
        <w:t>,</w:t>
      </w:r>
      <w:r w:rsidR="00E50B19" w:rsidRPr="000412A1">
        <w:rPr>
          <w:sz w:val="22"/>
          <w:szCs w:val="22"/>
        </w:rPr>
        <w:t xml:space="preserve"> and electrochemical</w:t>
      </w:r>
      <w:r w:rsidR="001A1FE2">
        <w:rPr>
          <w:sz w:val="22"/>
          <w:szCs w:val="22"/>
        </w:rPr>
        <w:t xml:space="preserve"> </w:t>
      </w:r>
      <w:r w:rsidR="00E50B19" w:rsidRPr="000412A1">
        <w:rPr>
          <w:sz w:val="22"/>
          <w:szCs w:val="22"/>
        </w:rPr>
        <w:t xml:space="preserve">oxidation </w:t>
      </w:r>
      <w:proofErr w:type="spellStart"/>
      <w:r w:rsidR="00E50B19" w:rsidRPr="000412A1">
        <w:rPr>
          <w:sz w:val="22"/>
          <w:szCs w:val="22"/>
        </w:rPr>
        <w:t>pretreatments</w:t>
      </w:r>
      <w:proofErr w:type="spellEnd"/>
      <w:r w:rsidR="00E50B19" w:rsidRPr="000412A1">
        <w:rPr>
          <w:sz w:val="22"/>
          <w:szCs w:val="22"/>
        </w:rPr>
        <w:t xml:space="preserve"> </w:t>
      </w:r>
      <w:r w:rsidR="000D2030" w:rsidRPr="000412A1">
        <w:rPr>
          <w:sz w:val="22"/>
          <w:szCs w:val="22"/>
        </w:rPr>
        <w:t>were</w:t>
      </w:r>
      <w:r w:rsidR="00E50B19" w:rsidRPr="000412A1">
        <w:rPr>
          <w:sz w:val="22"/>
          <w:szCs w:val="22"/>
        </w:rPr>
        <w:t xml:space="preserve"> </w:t>
      </w:r>
      <w:r w:rsidR="00E50B19" w:rsidRPr="000412A1">
        <w:rPr>
          <w:sz w:val="22"/>
          <w:szCs w:val="22"/>
        </w:rPr>
        <w:lastRenderedPageBreak/>
        <w:t xml:space="preserve">proposed </w:t>
      </w:r>
      <w:r w:rsidR="00D55186" w:rsidRPr="000412A1">
        <w:rPr>
          <w:sz w:val="22"/>
          <w:szCs w:val="22"/>
        </w:rPr>
        <w:t xml:space="preserve">to improve </w:t>
      </w:r>
      <w:r w:rsidR="009B6075" w:rsidRPr="000412A1">
        <w:rPr>
          <w:sz w:val="22"/>
          <w:szCs w:val="22"/>
        </w:rPr>
        <w:t>sludge</w:t>
      </w:r>
      <w:r w:rsidR="00A62D6C" w:rsidRPr="000412A1">
        <w:rPr>
          <w:sz w:val="22"/>
          <w:szCs w:val="22"/>
        </w:rPr>
        <w:t xml:space="preserve"> digestibility </w:t>
      </w:r>
      <w:r w:rsidR="00A62D6C" w:rsidRPr="000412A1">
        <w:rPr>
          <w:sz w:val="22"/>
          <w:szCs w:val="22"/>
        </w:rPr>
        <w:fldChar w:fldCharType="begin" w:fldLock="1"/>
      </w:r>
      <w:r w:rsidR="00A07857" w:rsidRPr="000412A1">
        <w:rPr>
          <w:sz w:val="22"/>
          <w:szCs w:val="22"/>
        </w:rPr>
        <w:instrText xml:space="preserve">ADDIN CSL_CITATION { "citationItems" : [ { "id" : "ITEM-1", "itemData" : { "DOI" : "10.1016/j.biortech.2014.10.071", "ISSN" : "09608524", "abstract" : "Performances of mechanical and low-temperature (&lt;100\u00b0C) thermal pre-treatments were investigated to improve the present efficiency of anaerobic digestion (AD) carried out on waste activated sludge (WAS) in the largest Italian wastewater treatment plant (2,300,000p.e.). Thermal pre-treatments returned disintegration rates of one order of magnitude higher than mechanical ones (about 25% vs. 1.5%). The methane specific production increased by 21% and 31%, with respect to untreated samples, for treatment conditions of respectively 70 and 90\u00b0C, 3h. Thermal pre-treatments also decreased WAS viscosity. Preliminary energy and economic assessments demonstrated that a WAS final total solid content of 5% was enough to avoid the employment of auxiliary methane for the pre-treatment at 90\u00b0C and the subsequent AD process, provided that all the heat generated was transferred to WAS through heat exchangers. Moreover, the total revenues from sale of the electricity produced from biogas increased by 10% with respect to the present scenario.", "author" : [ { "dropping-particle" : "", "family" : "Ruffino", "given" : "Barbara", "non-dropping-particle" : "", "parse-names" : false, "suffix" : "" }, { "dropping-particle" : "", "family" : "Campo", "given" : "Giuseppe", "non-dropping-particle" : "", "parse-names" : false, "suffix" : "" }, { "dropping-particle" : "", "family" : "Genon", "given" : "Giuseppe", "non-dropping-particle" : "", "parse-names" : false, "suffix" : "" }, { "dropping-particle" : "", "family" : "Lorenzi", "given" : "Eugenio", "non-dropping-particle" : "", "parse-names" : false, "suffix" : "" }, { "dropping-particle" : "", "family" : "Novarino", "given" : "Daniel", "non-dropping-particle" : "", "parse-names" : false, "suffix" : "" }, { "dropping-particle" : "", "family" : "Scibilia", "given" : "Gerardo", "non-dropping-particle" : "", "parse-names" : false, "suffix" : "" }, { "dropping-particle" : "", "family" : "Zanetti", "given" : "Mariachiara", "non-dropping-particle" : "", "parse-names" : false, "suffix" : "" } ], "container-title" : "Bioresource Technology", "id" : "ITEM-1", "issued" : { "date-parts" : [ [ "2015" ] ] }, "page" : "298-308", "title" : "Improvement of anaerobic digestion of sewage sludge in a wastewater treatment plant by means of mechanical and thermal pre-treatments: Performance, energy and economical assessment", "type" : "article-journal", "volume" : "175" }, "uris" : [ "http://www.mendeley.com/documents/?uuid=7580b240-c18b-38ab-8fec-8106295a2366", "http://www.mendeley.com/documents/?uuid=4c642d05-e7fd-40c7-af8f-05ef1c8b96ab" ] }, { "id" : "ITEM-2", "itemData" : { "DOI" : "10.1016/j.energy.2013.01.071", "ISSN" : "03605442", "abstract" : "Cell walls and lignin component disruption treatments are needed to enhance the hydrolytic phase and the overall biodegradability of lignocellulosics during an anaerobic digestion process. Given their abundant availability in nature, low impact on food market prices and low lignin content, aquatic plants result in being particularly suitable for biofuel conversion. A preliminary study on the effects of a Hollander beater mechanical pretreatment has been conducted in batch mode focusing on biogas yields from five different species of Irish seaweeds in co-digestion with sludge. A second experiment on Laminaria Digitata species has been carried out using a ResponseSurface Methodology (RSM) with treatment times (0-10min), mesophilic range of temperatures (35-39\u00b0C) and sludge amounts (100-300ml). Results from biogas yields of treated macroalgae have been found to be up to 20% higher when compared to untreated ones. A mathematical model of the biogas volume behaviour has been developed and the ideal conditions identified. \u00a9 2013 Elsevier Ltd.", "author" : [ { "dropping-particle" : "", "family" : "Tedesco", "given" : "S.", "non-dropping-particle" : "", "parse-names" : false, "suffix" : "" }, { "dropping-particle" : "", "family" : "Benyounis", "given" : "K. Y.", "non-dropping-particle" : "", "parse-names" : false, "suffix" : "" }, { "dropping-particle" : "", "family" : "Olabi", "given" : "A. G.", "non-dropping-particle" : "", "parse-names" : false, "suffix" : "" } ], "container-title" : "Energy", "id" : "ITEM-2", "issued" : { "date-parts" : [ [ "2013" ] ] }, "page" : "27-33", "publisher" : "Elsevier Ltd", "title" : "Mechanical pretreatment effects on macroalgae-derived biogas production in co-digestion with sludge in Ireland", "type" : "article-journal", "volume" : "61" }, "uris" : [ "http://www.mendeley.com/documents/?uuid=56fbac03-058f-47c0-a1c8-4947eef55fb6", "http://www.mendeley.com/documents/?uuid=a97185e5-dd20-4661-bbfe-225d04510a79", "http://www.mendeley.com/documents/?uuid=1d8939b9-a6da-42eb-8d2d-f0188f8ab6f9" ] }, { "id" : "ITEM-3", "itemData" : { "DOI" : "10.1016/j.biortech.2011.06.053", "ISSN" : "09608524", "abstract" : "Microwave (2450 MHz, 1250 W), ultrasonic (20 kHz, 400 W) and chemo-mechanical (MicroSludge\u00ae with 900. mg/L NaOH followed by 83,000 kPa) pretreatments were applied to pulp mill waste sludge to enhance methane production and reduce digester sludge retention time. The effects of four variables (microwave temperature in a range of 50-175\u00b0C) and sonication time (15-90. min), sludge type (primary or secondary) and digester temperature (mesophilic and thermophilic) were investigated. Microwave pretreatment proved to be the most effective, increasing specific methane yields of WAS samples by 90% compared to controls after 21. days of mesophilic digestion. Sonication solubilized the sludge samples better, but resulted in soluble non-biodegradable compounds. Based on the laboratory scale data, MicroSludge\u00ae was found the least energy intensive pretreatment followed by sonication for 15. min alternative with net energy profits of 1366 and 386. kWh/tonne of total solids (TS), respectively. Pretreatment benefits were smaller for thermophilic digesters. \u00a9 2011 Elsevier Ltd.", "author" : [ { "dropping-particle" : "", "family" : "Saha", "given" : "Mithun", "non-dropping-particle" : "", "parse-names" : false, "suffix" : "" }, { "dropping-particle" : "", "family" : "Eskicioglu", "given" : "Cigdem", "non-dropping-particle" : "", "parse-names" : false, "suffix" : "" }, { "dropping-particle" : "", "family" : "Marin", "given" : "Juan", "non-dropping-particle" : "", "parse-names" : false, "suffix" : "" } ], "container-title" : "Bioresource Technology", "id" : "ITEM-3", "issue" : "17", "issued" : { "date-parts" : [ [ "2011" ] ] }, "page" : "7815-7826", "publisher" : "Elsevier Ltd", "title" : "Microwave, ultrasonic and chemo-mechanical pretreatments for enhancing methane potential of pulp mill wastewater treatment sludge", "type" : "article-journal", "volume" : "102" }, "uris" : [ "http://www.mendeley.com/documents/?uuid=3258e6ad-d8fb-4245-9282-460bb766b0ac", "http://www.mendeley.com/documents/?uuid=be0ae025-5f33-43bf-8b04-b2501604b2dd", "http://www.mendeley.com/documents/?uuid=12546877-a548-42d4-bddd-69119ad6fbb8" ] }, { "id" : "ITEM-4", "itemData" : { "DOI" : "10.1016/S1093-0191(02)00032-1", "ISBN" : "1093-0191", "ISSN" : "10930191", "abstract" : "The anaerobic stabilisation process depends-among other things-on the bioavailability of organic carbon. Through pre-treatment of the sludge, which leads to the destruction of microorganisms and to the liberation of cell contents (disintegration), the carbon can be microbially converted better and faster. Moreover, effects on digestion can be expected. Laboratory-scale digestion tests with thermally, enzymatically or mechanically pre-treated surplus sludge were carried out to analyse the influence of disintegration on anaerobic degradation, sludge water reload, foaming in digesters and sanitisation. The results were different, depending on the disintegration procedure used. Whereas disintegration by a high-pressure homogeniser and by enzymes only achieved low reduction of the foam phase, thermal pre-treatment at 121 ??C resulted in effective suppression of foaming. All methods, except for enzymatic treatment, resulted in cutting up of filaments, but only heating effected a reduction in exo-cellular polymers. The improvement in gas production of thermal (121 ??C) and mechanically pre-treated sludge was approximately 20%. ?? 2002 Elsevier Science Ltd. All rights reserved.", "author" : [ { "dropping-particle" : "", "family" : "Barjenbruch", "given" : "Matthias", "non-dropping-particle" : "", "parse-names" : false, "suffix" : "" }, { "dropping-particle" : "", "family" : "Kopplow", "given" : "O.", "non-dropping-particle" : "", "parse-names" : false, "suffix" : "" } ], "container-title" : "Advances in Environmental Research", "id" : "ITEM-4", "issue" : "3", "issued" : { "date-parts" : [ [ "2003" ] ] }, "page" : "715-720", "title" : "Enzymatic, mechanical and thermal pre-treatment of surplus sludge", "type" : "article-journal", "volume" : "7" }, "uris" : [ "http://www.mendeley.com/documents/?uuid=c0e3b2bf-63bf-40fc-8bb1-eebe48610483", "http://www.mendeley.com/documents/?uuid=d80b2b0a-e50e-4aff-9dfd-f8a106003c7c" ] }, { "id" : "ITEM-5", "itemData" : { "DOI" : "10.1016/j.biortech.2012.08.017", "ISSN" : "09608524", "abstract" : "NaOH was used to disintegrate a mixture composed mainly of primary sludge with biofilm sludge before anaerobic digestion in batch experiments. NaOH pretreatment dissolved some organic substances, and the optimum dose was 0.1 mol/L. After the alkali-treated sludge was fed into the digesters, the higher pH delayed the start of digestion and reduced the biogas production during the initial stage, although the system recovered after a lag phase when the dose was lower than 0.04 mol/L. Acid conditioning was necessary, but the increased salinity also impacted on the digestion efficiency. For sludge pretreatment, the optimum NaOH dose was 0.1 mol/L, and the initial pH of the batch digesters needs to be controlled at less than eight. Under optimized conditions, the organic degradation rate was 38.3% and the biogas yield was 0.65 L/g volatile suspended solid (VSS), whereas these values for the control were 30.3% and 0.64 L/g VSS, respectively. \u00a9 2012 Elsevier Ltd.", "author" : [ { "dropping-particle" : "", "family" : "Li", "given" : "Huan", "non-dropping-particle" : "", "parse-names" : false, "suffix" : "" }, { "dropping-particle" : "", "family" : "Li", "given" : "Chenchen", "non-dropping-particle" : "", "parse-names" : false, "suffix" : "" }, { "dropping-particle" : "", "family" : "Liu", "given" : "Wenjie", "non-dropping-particle" : "", "parse-names" : false, "suffix" : "" }, { "dropping-particle" : "", "family" : "Zou", "given" : "Shuxin", "non-dropping-particle" : "", "parse-names" : false, "suffix" : "" } ], "container-title" : "Bioresource Technology", "id" : "ITEM-5", "issued" : { "date-parts" : [ [ "2012" ] ] }, "page" : "189-194", "publisher" : "Elsevier Ltd", "title" : "Optimized alkaline pretreatment of sludge before anaerobic digestion", "type" : "article-journal", "volume" : "123" }, "uris" : [ "http://www.mendeley.com/documents/?uuid=566e09c8-e74c-47e6-8400-5529e3922222", "http://www.mendeley.com/documents/?uuid=f1b22656-6b72-4751-be70-446586046a09", "http://www.mendeley.com/documents/?uuid=ce871ca7-e10e-4189-a131-734f47a8911d" ] }, { "id" : "ITEM-6", "itemData" : { "DOI" : "10.1016/j.fuel.2014.04.031", "ISBN" : "0960-8524", "ISSN" : "00162361", "PMID" : "71379600003", "abstract" : "Electrochemical pretreatment (EP) with a pair of Ti/RuO2 mesh plate electrodes was applied to solubilize waste activated sludge (WAS) with the aid of hypochlorite, and the conventional pretreatment methods of thermal pretreatment (THP), thermal-alkaline pretreatment (TAP) and alkaline pretreatment (AP) were also introduced as the comparative cases. In this study, Growth Rate of Solubilization (GRS) was developed to characterize the solubilization process of WAS in terms of SCOD (soluble chemical oxygen demand), carbohydrates, proteins, VFAs, and the highest GRS-SCOD was found in EP-group, with approximately 5.2 times higher than that in AP group. Around 647 L/kgVS (volatile solids) of biogas was obtained in EP-group, which was up to 63.4% more than that in the control group (396 L/kgVS), and the corresponding VS removal efficiency reached to 45.5%. Therefore, EP might be a promising enhancement method for sludge solubilization, and thus contribute to the anaerobic digestion process. \u00a9 2014 Elsevier Ltd. All rights reserved.", "author" : [ { "dropping-particle" : "", "family" : "Yu", "given" : "Bao", "non-dropping-particle" : "", "parse-names" : false, "suffix" : "" }, { "dropping-particle" : "", "family" : "Xu", "given" : "Jianbo", "non-dropping-particle" : "", "parse-names" : false, "suffix" : "" }, { "dropping-particle" : "", "family" : "Yuan", "given" : "Haiping", "non-dropping-particle" : "", "parse-names" : false, "suffix" : "" }, { "dropping-particle" : "", "family" : "Lou", "given" : "Ziyang", "non-dropping-particle" : "", "parse-names" : false, "suffix" : "" }, { "dropping-particle" : "", "family" : "Lin", "given" : "Jinxian", "non-dropping-particle" : "", "parse-names" : false, "suffix" : "" }, { "dropping-particle" : "", "family" : "Zhu", "given" : "Nanwen", "non-dropping-particle" : "", "parse-names" : false, "suffix" : "" } ], "container-title" : "Fuel", "id" : "ITEM-6", "issued" : { "date-parts" : [ [ "2014" ] ] }, "page" : "279-285", "title" : "Enhancement of anaerobic digestion of waste activated sludge by electrochemical pretreatment", "type" : "article-journal", "volume" : "130" }, "uris" : [ "http://www.mendeley.com/documents/?uuid=099291f5-7469-44cd-9485-22c763845a70", "http://www.mendeley.com/documents/?uuid=7bed29ae-2bd8-4aba-bfd1-d5429050f282" ] }, { "id" : "ITEM-7", "itemData" : { "DOI" : "10.1016/j.jenvman.2019.06.014", "ISSN" : "10958630", "abstract" : "In Friuli-Venezia Giulia plain (North-East of Italy), a significant number of small diaries is present; this study was aimed at evaluating technical and economic feasibility of diffused anaerobic digestion implementation at dairy level. Different kinds of cheese whey were characterized, and biochemical methane potential tests were executed. Good methane yields (up to 437.3 NmL CH4/g VSadded) were obtained, applying an inoculum-to-substrate ratio of 6. Ultrasound pre-treatment was investigated to evaluate an eventual increase in methane production and kinetics, varying applied ultrasonic energy: significant increases in methane yield (maximum +16.0%) and CH4 production kinetics (up to +46% increase after 3 days) were obtained at low ultrasonic energy of 251.4\u2013693.7 Wh/kg VS, while at higher ultrasonic energy of 502.8\u20131387.5 Wh/kg VS no significant effect was visible. Energy consumption in selected dairies was analysed, to underline the impact of anaerobic digestion implementation on electric and thermal energy need, and it was concluded that through cheese whey anaerobic digestion it is possible to cover most of the dairies energy demand. Specific electric and thermal energy consumption were evaluated to be respectively in the range of 0.009\u20130.133 kWh/kg milk and 0.247\u20130.557 MJ/kg milk, while specific energy costs were calculated as 0.0079\u20130.0308 \u20ac/kg milk. For each analysed plant, digester volume to install and organic loading rate were hypothesized.", "author" : [ { "dropping-particle" : "", "family" : "Mainardis", "given" : "Matia", "non-dropping-particle" : "", "parse-names" : false, "suffix" : "" }, { "dropping-particle" : "", "family" : "Flaibani", "given" : "Simone", "non-dropping-particle" : "", "parse-names" : false, "suffix" : "" }, { "dropping-particle" : "", "family" : "Trigatti", "given" : "Matteo", "non-dropping-particle" : "", "parse-names" : false, "suffix" : "" }, { "dropping-particle" : "", "family" : "Goi", "given" : "Daniele", "non-dropping-particle" : "", "parse-names" : false, "suffix" : "" } ], "container-title" : "Journal of Environmental Management", "id" : "ITEM-7", "issued" : { "date-parts" : [ [ "2019" ] ] }, "page" : "557-563", "title" : "Techno-economic feasibility of anaerobic digestion of cheese whey in small Italian dairies and effect of ultrasound pre-treatment on methane yield", "type" : "article-journal", "volume" : "246" }, "uris" : [ "http://www.mendeley.com/documents/?uuid=7b7e6e21-4112-4fa2-bfa7-dff9c26bad9b", "http://www.mendeley.com/documents/?uuid=332364c4-6424-44fa-baca-316eb6fb4f37", "http://www.mendeley.com/documents/?uuid=d9b38265-3a93-44f2-8985-55f597ae4792" ] }, { "id" : "ITEM-8", "itemData" : { "DOI" : "10.1016/j.jenvman.2018.10.031", "ISSN" : "10958630", "abstract" : "The mesophilic anaerobic co-digestion of the liquid fraction from hydrothermal carbonization (LFHTC) of dewatered waste activated sludge with primary sewage sludge (PSS) has been studied. Mixtures of different composition (25, 50 and 75% of LFHTC on a chemical oxygen demand (COD) basis), as well as the individual substrates, have been tested using two inocula (flocculent (FS) and granular (GS) sludges). Methane production decreased as the LFHTC/PSS ratio increased, which can be related to the presence of recalcitrant compounds in the LFHTC, such as alkenes, phenolics, and other oxygen- and nitrogen-bearing aromatics hard-to-degrade through anaerobic digestion. Methane yield reached 248 \u00b1 11 mL CH 4 STP/g COD added with the GS inoculum and 25% LFHTC. A 74 and a 30% increase of methane production was achieved in the 25% LFHTC runs respect to the obtained in the similar experiments with 100% LFHTC, using the FS and GS inocula, respectively. In those late runs, the COD was reduced more than 86%, with a negligible concentration of total volatile fatty acids. With both inocula, total Kjeldahl nitrogen hydrolysis increased as the LFHTC to PSS mixture ratio decreased, reaching values higher than 79% at the end of the experiments. Methane yield values fitted well the first-order, Cone and Weibull kinetic models for both inocula. Significant differences in the kinetic constant values, ranging from 0.100 to 0.168 d \u22121 and 0.059\u20130.068 d \u22121 , were found with the FS and GS inocula, respectively. The results obtained support the potential integration of HTC of dewatered waste activated sludge in wastewater treatment plants.", "author" : [ { "dropping-particle" : "", "family" : "Villamil", "given" : "John A.", "non-dropping-particle" : "", "parse-names" : false, "suffix" : "" }, { "dropping-particle" : "", "family" : "Mohedano", "given" : "Angel F.", "non-dropping-particle" : "", "parse-names" : false, "suffix" : "" }, { "dropping-particle" : "", "family" : "Rodriguez", "given" : "Juan J.", "non-dropping-particle" : "", "parse-names" : false, "suffix" : "" </w:instrText>
      </w:r>
      <w:r w:rsidR="00A07857" w:rsidRPr="009A0A82">
        <w:rPr>
          <w:sz w:val="22"/>
          <w:szCs w:val="22"/>
          <w:lang w:val="fr-CA"/>
        </w:rPr>
        <w:instrText>}, { "dropping-particle" : "", "family" : "la Rubia", "given" : "M. A.", "non-dropping-particle" : "De", "parse-names" : false, "suffix" : "" } ], "container-title" : "Journal of Environmental Management", "id" : "ITEM-8", "issued" : { "date-parts" : [ [ "2019" ] ] }, "page" : "726-733", "title" : "Anaerobic co-digestion of the aqueous phase from hydrothermally treated waste activated sludge with primary sewage sludge. A kinetic study", "type" : "article-journal", "volume" : "231" }, "uris" : [ "http://www.mendeley.com/documents/?uuid=1aeb0c31-15ae-4b43-9566-dcf47cf84913", "http://www.mendeley.com/documents/?uuid=05aadfd2-8dfb-4d76-b59a-77cdd37dc871", "http://www.mendeley.com/documents/?uuid=e84302b9-5540-4fa1-ab8a-9e47fe397ee1" ] } ], "mendeley" : { "formattedCitation" : "(Barjenbruch and Kopplow, 2003; Li et al., 2012; Mainardis et al., 2019; Ruffino et al., 2015; Saha et al., 2011; Tedesco et al., 2013; Villamil et al., 2019; Yu et al., 2014)", "plainTextFormattedCitation" : "(Barjenbruch and Kopplow, 2003; Li et al., 2012; Mainardis et al., 2019; Ruffino et al., 2015; Saha et al., 2011; Tedesco et al., 2013; Villamil et al., 2019; Yu et al., 2014)", "previouslyFormattedCitation" : "(Barjenbruch and Kopplow, 2003; Li et al., 2012; Mainardis et al., 2019; Ruffino et al., 2015; Saha et al., 2011; Tedesco et al., 2013; Villamil et al., 2019; Yu et al., 2014)" }, "properties" : {  }, "schema" : "https://github.com/citation-style-language/schema/raw/master/csl-citation.json" }</w:instrText>
      </w:r>
      <w:r w:rsidR="00A62D6C" w:rsidRPr="000412A1">
        <w:rPr>
          <w:sz w:val="22"/>
          <w:szCs w:val="22"/>
        </w:rPr>
        <w:fldChar w:fldCharType="separate"/>
      </w:r>
      <w:r w:rsidR="00846D5A" w:rsidRPr="009A0A82">
        <w:rPr>
          <w:noProof/>
          <w:sz w:val="22"/>
          <w:szCs w:val="22"/>
          <w:lang w:val="fr-CA"/>
        </w:rPr>
        <w:t>(Barjenbruch and Kopplow, 2003; Li et al., 2012; Mainardis et al., 2019; Ruffino et al., 2015; Saha et al., 2011; Tedesco et al., 2013; Villamil et al., 2019; Yu et al., 2014)</w:t>
      </w:r>
      <w:r w:rsidR="00A62D6C" w:rsidRPr="000412A1">
        <w:rPr>
          <w:sz w:val="22"/>
          <w:szCs w:val="22"/>
        </w:rPr>
        <w:fldChar w:fldCharType="end"/>
      </w:r>
      <w:r w:rsidR="00A62D6C" w:rsidRPr="009A0A82">
        <w:rPr>
          <w:sz w:val="22"/>
          <w:szCs w:val="22"/>
          <w:lang w:val="fr-CA"/>
        </w:rPr>
        <w:t xml:space="preserve">. </w:t>
      </w:r>
    </w:p>
    <w:p w14:paraId="23DD02D9" w14:textId="77777777" w:rsidR="00D55186" w:rsidRPr="009A0A82" w:rsidRDefault="00D55186" w:rsidP="00C012DA">
      <w:pPr>
        <w:tabs>
          <w:tab w:val="left" w:pos="425"/>
        </w:tabs>
        <w:autoSpaceDE w:val="0"/>
        <w:autoSpaceDN w:val="0"/>
        <w:adjustRightInd w:val="0"/>
        <w:spacing w:line="480" w:lineRule="auto"/>
        <w:rPr>
          <w:sz w:val="22"/>
          <w:szCs w:val="22"/>
          <w:lang w:val="fr-CA"/>
        </w:rPr>
      </w:pPr>
    </w:p>
    <w:p w14:paraId="4EC71098" w14:textId="3748DC5D" w:rsidR="00382DCE" w:rsidRPr="000412A1" w:rsidRDefault="007C74AB" w:rsidP="00E26A1C">
      <w:pPr>
        <w:tabs>
          <w:tab w:val="left" w:pos="426"/>
        </w:tabs>
        <w:spacing w:line="480" w:lineRule="auto"/>
        <w:rPr>
          <w:sz w:val="22"/>
          <w:szCs w:val="22"/>
        </w:rPr>
      </w:pPr>
      <w:r w:rsidRPr="000412A1">
        <w:rPr>
          <w:sz w:val="22"/>
          <w:szCs w:val="22"/>
        </w:rPr>
        <w:t>Besides transforming organic matter into biogas, a</w:t>
      </w:r>
      <w:r w:rsidR="00197764" w:rsidRPr="000412A1">
        <w:rPr>
          <w:sz w:val="22"/>
          <w:szCs w:val="22"/>
        </w:rPr>
        <w:t xml:space="preserve">naerobic digestion </w:t>
      </w:r>
      <w:r w:rsidRPr="000412A1">
        <w:rPr>
          <w:sz w:val="22"/>
          <w:szCs w:val="22"/>
        </w:rPr>
        <w:t>produces a</w:t>
      </w:r>
      <w:r w:rsidR="00197764" w:rsidRPr="000412A1">
        <w:rPr>
          <w:sz w:val="22"/>
          <w:szCs w:val="22"/>
        </w:rPr>
        <w:t xml:space="preserve"> solid</w:t>
      </w:r>
      <w:r w:rsidR="00C02204" w:rsidRPr="000412A1">
        <w:rPr>
          <w:sz w:val="22"/>
          <w:szCs w:val="22"/>
        </w:rPr>
        <w:t>–</w:t>
      </w:r>
      <w:r w:rsidR="00197764" w:rsidRPr="000412A1">
        <w:rPr>
          <w:sz w:val="22"/>
          <w:szCs w:val="22"/>
        </w:rPr>
        <w:t xml:space="preserve">liquid </w:t>
      </w:r>
      <w:proofErr w:type="spellStart"/>
      <w:r w:rsidR="00197764" w:rsidRPr="000412A1">
        <w:rPr>
          <w:sz w:val="22"/>
          <w:szCs w:val="22"/>
        </w:rPr>
        <w:t>byproduct</w:t>
      </w:r>
      <w:proofErr w:type="spellEnd"/>
      <w:r w:rsidR="00197764" w:rsidRPr="000412A1">
        <w:rPr>
          <w:sz w:val="22"/>
          <w:szCs w:val="22"/>
        </w:rPr>
        <w:t xml:space="preserve"> called </w:t>
      </w:r>
      <w:proofErr w:type="spellStart"/>
      <w:r w:rsidR="00197764" w:rsidRPr="000412A1">
        <w:rPr>
          <w:sz w:val="22"/>
          <w:szCs w:val="22"/>
        </w:rPr>
        <w:t>digestate</w:t>
      </w:r>
      <w:proofErr w:type="spellEnd"/>
      <w:r w:rsidR="000D2030" w:rsidRPr="000412A1">
        <w:rPr>
          <w:sz w:val="22"/>
          <w:szCs w:val="22"/>
        </w:rPr>
        <w:t xml:space="preserve"> that</w:t>
      </w:r>
      <w:r w:rsidR="00197764" w:rsidRPr="000412A1">
        <w:rPr>
          <w:sz w:val="22"/>
          <w:szCs w:val="22"/>
        </w:rPr>
        <w:t xml:space="preserve"> contains </w:t>
      </w:r>
      <w:r w:rsidRPr="000412A1">
        <w:rPr>
          <w:sz w:val="22"/>
          <w:szCs w:val="22"/>
        </w:rPr>
        <w:t>increased levels of</w:t>
      </w:r>
      <w:r w:rsidR="00197764" w:rsidRPr="000412A1">
        <w:rPr>
          <w:sz w:val="22"/>
          <w:szCs w:val="22"/>
        </w:rPr>
        <w:t xml:space="preserve"> nutrients and </w:t>
      </w:r>
      <w:r w:rsidR="003A71A8" w:rsidRPr="000412A1">
        <w:rPr>
          <w:sz w:val="22"/>
          <w:szCs w:val="22"/>
        </w:rPr>
        <w:t xml:space="preserve">stabilised </w:t>
      </w:r>
      <w:r w:rsidR="00197764" w:rsidRPr="000412A1">
        <w:rPr>
          <w:sz w:val="22"/>
          <w:szCs w:val="22"/>
        </w:rPr>
        <w:t>organic matter</w:t>
      </w:r>
      <w:r w:rsidR="003A71A8" w:rsidRPr="000412A1">
        <w:rPr>
          <w:sz w:val="22"/>
          <w:szCs w:val="22"/>
        </w:rPr>
        <w:t xml:space="preserve"> with low </w:t>
      </w:r>
      <w:r w:rsidR="00FC03A0" w:rsidRPr="000412A1">
        <w:rPr>
          <w:sz w:val="22"/>
          <w:szCs w:val="22"/>
        </w:rPr>
        <w:t xml:space="preserve">putrescible </w:t>
      </w:r>
      <w:r w:rsidR="00250002" w:rsidRPr="000412A1">
        <w:rPr>
          <w:sz w:val="22"/>
          <w:szCs w:val="22"/>
        </w:rPr>
        <w:t xml:space="preserve">potential </w:t>
      </w:r>
      <w:r w:rsidR="00197764" w:rsidRPr="000412A1">
        <w:rPr>
          <w:sz w:val="22"/>
          <w:szCs w:val="22"/>
        </w:rPr>
        <w:fldChar w:fldCharType="begin" w:fldLock="1"/>
      </w:r>
      <w:r w:rsidR="00A07857" w:rsidRPr="000412A1">
        <w:rPr>
          <w:sz w:val="22"/>
          <w:szCs w:val="22"/>
        </w:rPr>
        <w:instrText>ADDIN CSL_CITATION { "citationItems" : [ { "id" : "ITEM-1", "itemData" : { "DOI" : "10.1002/elsc.201100085", "author" : [ { "dropping-particle" : "", "family" : "M\u00f6ller", "given" : "Kurt", "non-dropping-particle" : "", "parse-names" : false, "suffix" : "" } ], "id" : "ITEM-1", "issue" : "3", "issued" : { "date-parts" : [ [ "2012" ] ] }, "page" : "242-257", "title" : "Effects of anaerobic digestion on digestate nutrient availability and crop growth : A review", "type" : "article-journal" }, "uris" : [ "http://www.mendeley.com/documents/?uuid=c77c9c15-6158-4824-a62d-56bd73022e93", "http://www.mendeley.com/documents/?uuid=66ee7330-d7fe-4dfe-af9f-4611216a81e4" ] } ], "mendeley" : { "formattedCitation" : "(M\u00f6ller, 2012)", "plainTextFormattedCitation" : "(M\u00f6ller, 2012)", "previouslyFormattedCitation" : "(M\u00f6ller, 2012)" }, "properties" : {  }, "schema" : "https://github.com/citation-style-language/schema/raw/master/csl-citation.json" }</w:instrText>
      </w:r>
      <w:r w:rsidR="00197764" w:rsidRPr="000412A1">
        <w:rPr>
          <w:sz w:val="22"/>
          <w:szCs w:val="22"/>
        </w:rPr>
        <w:fldChar w:fldCharType="separate"/>
      </w:r>
      <w:r w:rsidR="00FD4989" w:rsidRPr="000412A1">
        <w:rPr>
          <w:noProof/>
          <w:sz w:val="22"/>
          <w:szCs w:val="22"/>
        </w:rPr>
        <w:t>(Möller, 2012)</w:t>
      </w:r>
      <w:r w:rsidR="00197764" w:rsidRPr="000412A1">
        <w:rPr>
          <w:sz w:val="22"/>
          <w:szCs w:val="22"/>
        </w:rPr>
        <w:fldChar w:fldCharType="end"/>
      </w:r>
      <w:r w:rsidR="00197764" w:rsidRPr="000412A1">
        <w:rPr>
          <w:sz w:val="22"/>
          <w:szCs w:val="22"/>
        </w:rPr>
        <w:t xml:space="preserve">. </w:t>
      </w:r>
      <w:r w:rsidR="00CD2BFF" w:rsidRPr="000412A1">
        <w:rPr>
          <w:sz w:val="22"/>
          <w:szCs w:val="22"/>
        </w:rPr>
        <w:t>D</w:t>
      </w:r>
      <w:r w:rsidR="00197764" w:rsidRPr="000412A1">
        <w:rPr>
          <w:sz w:val="22"/>
          <w:szCs w:val="22"/>
        </w:rPr>
        <w:t xml:space="preserve">igestate management is </w:t>
      </w:r>
      <w:r w:rsidR="00CD2BFF" w:rsidRPr="000412A1">
        <w:rPr>
          <w:sz w:val="22"/>
          <w:szCs w:val="22"/>
        </w:rPr>
        <w:t xml:space="preserve">a </w:t>
      </w:r>
      <w:r w:rsidR="00197764" w:rsidRPr="000412A1">
        <w:rPr>
          <w:sz w:val="22"/>
          <w:szCs w:val="22"/>
        </w:rPr>
        <w:t>key</w:t>
      </w:r>
      <w:r w:rsidR="00CD2BFF" w:rsidRPr="000412A1">
        <w:rPr>
          <w:sz w:val="22"/>
          <w:szCs w:val="22"/>
        </w:rPr>
        <w:t xml:space="preserve"> factor</w:t>
      </w:r>
      <w:r w:rsidR="00197764" w:rsidRPr="000412A1">
        <w:rPr>
          <w:sz w:val="22"/>
          <w:szCs w:val="22"/>
        </w:rPr>
        <w:t xml:space="preserve"> </w:t>
      </w:r>
      <w:r w:rsidR="00130842" w:rsidRPr="000412A1">
        <w:rPr>
          <w:sz w:val="22"/>
          <w:szCs w:val="22"/>
        </w:rPr>
        <w:t>for</w:t>
      </w:r>
      <w:r w:rsidR="00197764" w:rsidRPr="000412A1">
        <w:rPr>
          <w:sz w:val="22"/>
          <w:szCs w:val="22"/>
        </w:rPr>
        <w:t xml:space="preserve"> circumvent</w:t>
      </w:r>
      <w:r w:rsidR="00130842" w:rsidRPr="000412A1">
        <w:rPr>
          <w:sz w:val="22"/>
          <w:szCs w:val="22"/>
        </w:rPr>
        <w:t>ing</w:t>
      </w:r>
      <w:r w:rsidR="00197764" w:rsidRPr="000412A1">
        <w:rPr>
          <w:sz w:val="22"/>
          <w:szCs w:val="22"/>
        </w:rPr>
        <w:t xml:space="preserve"> </w:t>
      </w:r>
      <w:r w:rsidR="00CD2BFF" w:rsidRPr="000412A1">
        <w:rPr>
          <w:sz w:val="22"/>
          <w:szCs w:val="22"/>
        </w:rPr>
        <w:t xml:space="preserve">pollution problems associated with the release of </w:t>
      </w:r>
      <w:r w:rsidR="00FC03A0" w:rsidRPr="000412A1">
        <w:rPr>
          <w:sz w:val="22"/>
          <w:szCs w:val="22"/>
        </w:rPr>
        <w:t>high-risk</w:t>
      </w:r>
      <w:r w:rsidR="00197764" w:rsidRPr="000412A1">
        <w:rPr>
          <w:sz w:val="22"/>
          <w:szCs w:val="22"/>
        </w:rPr>
        <w:t xml:space="preserve"> </w:t>
      </w:r>
      <w:r w:rsidR="00CD2BFF" w:rsidRPr="000412A1">
        <w:rPr>
          <w:sz w:val="22"/>
          <w:szCs w:val="22"/>
        </w:rPr>
        <w:t xml:space="preserve">contaminants </w:t>
      </w:r>
      <w:r w:rsidR="00197764" w:rsidRPr="000412A1">
        <w:rPr>
          <w:sz w:val="22"/>
          <w:szCs w:val="22"/>
        </w:rPr>
        <w:t>into the environment</w:t>
      </w:r>
      <w:r w:rsidR="00CD2BFF" w:rsidRPr="000412A1">
        <w:rPr>
          <w:sz w:val="22"/>
          <w:szCs w:val="22"/>
        </w:rPr>
        <w:t xml:space="preserve">. The adequate disposal of digestates </w:t>
      </w:r>
      <w:r w:rsidR="00197764" w:rsidRPr="000412A1">
        <w:rPr>
          <w:sz w:val="22"/>
          <w:szCs w:val="22"/>
        </w:rPr>
        <w:t xml:space="preserve">is </w:t>
      </w:r>
      <w:r w:rsidR="00CD2BFF" w:rsidRPr="000412A1">
        <w:rPr>
          <w:sz w:val="22"/>
          <w:szCs w:val="22"/>
        </w:rPr>
        <w:t xml:space="preserve">a </w:t>
      </w:r>
      <w:r w:rsidR="00197764" w:rsidRPr="000412A1">
        <w:rPr>
          <w:sz w:val="22"/>
          <w:szCs w:val="22"/>
        </w:rPr>
        <w:t xml:space="preserve">challenging </w:t>
      </w:r>
      <w:r w:rsidR="00CD2BFF" w:rsidRPr="000412A1">
        <w:rPr>
          <w:sz w:val="22"/>
          <w:szCs w:val="22"/>
        </w:rPr>
        <w:t>task</w:t>
      </w:r>
      <w:r w:rsidR="00197764" w:rsidRPr="000412A1">
        <w:rPr>
          <w:sz w:val="22"/>
          <w:szCs w:val="22"/>
        </w:rPr>
        <w:t xml:space="preserve"> due </w:t>
      </w:r>
      <w:r w:rsidR="00CD2BFF" w:rsidRPr="000412A1">
        <w:rPr>
          <w:sz w:val="22"/>
          <w:szCs w:val="22"/>
        </w:rPr>
        <w:t xml:space="preserve">to </w:t>
      </w:r>
      <w:r w:rsidR="00197764" w:rsidRPr="000412A1">
        <w:rPr>
          <w:sz w:val="22"/>
          <w:szCs w:val="22"/>
        </w:rPr>
        <w:t>their high water content</w:t>
      </w:r>
      <w:r w:rsidR="00524996" w:rsidRPr="000412A1">
        <w:rPr>
          <w:sz w:val="22"/>
          <w:szCs w:val="22"/>
        </w:rPr>
        <w:t>,</w:t>
      </w:r>
      <w:r w:rsidR="00197764" w:rsidRPr="000412A1">
        <w:rPr>
          <w:sz w:val="22"/>
          <w:szCs w:val="22"/>
        </w:rPr>
        <w:t xml:space="preserve"> </w:t>
      </w:r>
      <w:r w:rsidR="00CD2BFF" w:rsidRPr="000412A1">
        <w:rPr>
          <w:sz w:val="22"/>
          <w:szCs w:val="22"/>
        </w:rPr>
        <w:t xml:space="preserve">making </w:t>
      </w:r>
      <w:r w:rsidR="00197764" w:rsidRPr="000412A1">
        <w:rPr>
          <w:sz w:val="22"/>
          <w:szCs w:val="22"/>
        </w:rPr>
        <w:t>transport and storage</w:t>
      </w:r>
      <w:r w:rsidR="00CD2BFF" w:rsidRPr="000412A1">
        <w:rPr>
          <w:sz w:val="22"/>
          <w:szCs w:val="22"/>
        </w:rPr>
        <w:t xml:space="preserve"> operations </w:t>
      </w:r>
      <w:r w:rsidR="00BB6259" w:rsidRPr="000412A1">
        <w:rPr>
          <w:sz w:val="22"/>
          <w:szCs w:val="22"/>
        </w:rPr>
        <w:t xml:space="preserve">difficult to handle, </w:t>
      </w:r>
      <w:r w:rsidR="00CD2BFF" w:rsidRPr="000412A1">
        <w:rPr>
          <w:sz w:val="22"/>
          <w:szCs w:val="22"/>
        </w:rPr>
        <w:t>thus increasing final disposal costs</w:t>
      </w:r>
      <w:r w:rsidR="00197764" w:rsidRPr="000412A1">
        <w:rPr>
          <w:sz w:val="22"/>
          <w:szCs w:val="22"/>
        </w:rPr>
        <w:t xml:space="preserve"> </w:t>
      </w:r>
      <w:r w:rsidR="00197764" w:rsidRPr="000412A1">
        <w:rPr>
          <w:sz w:val="22"/>
          <w:szCs w:val="22"/>
        </w:rPr>
        <w:fldChar w:fldCharType="begin" w:fldLock="1"/>
      </w:r>
      <w:r w:rsidR="00A07857" w:rsidRPr="000412A1">
        <w:rPr>
          <w:sz w:val="22"/>
          <w:szCs w:val="22"/>
        </w:rPr>
        <w:instrText>ADDIN CSL_CITATION { "citationItems" : [ { "id" : "ITEM-1", "itemData" : { "DOI" : "10.1016/j.jbiotec.2009.01.016", "ISSN" : "1873-4863", "PMID" : "19480948", "abstract" : "The Austrian \"green electricity act\" (Okostromgesetz) has led to an increase in biogas power plant size and consequently to an increased use of biomass. A biogas power plant with a generating capacity of 500 kW(el) consumes up to 38,000 kg of biomass per day. 260 ha of cropland is required to produce this mass. The high water content of biomass necessitates a high transport volume for energy crops and fermentation residues. The transport and application of fermentation residues to farmland is the last step in this logistic chain. The use of fermentation residues as fertilizer closes the nutrient cycle and is a central element in the efficient use of biomass for power production. Treatment of fermentation residues by separation into liquid and solid phases may be a solution to the transport problem. This paper presents detailed results from the monitoring of two biogas plants and from the analysis of the separation of fermentation residues. Furthermore, two different separator technologies for the separation of fermentation residues of biogas plants were analyzed. The examined biogas plants correspond to the current technological state of the art and have designs developed specifically for the utilization of energy crops. The hydraulic retention time ranged between 45.0 and 83.7 days. The specific methane yields were 0.40-0.43 m(3)N CH(4) per kg VS. The volume loads ranged between 3.69 and 4.00 kg VS/m(3). The degree of degradation was between 77.3% and 82.14%. The screw extractor separator was better suited for biogas slurry separation than the rotary screen separator. The screw extractor separator exhibited a high throughput and good separation efficiency. The efficiency of slurry separation depended on the dry matter content of the fermentation residue. The higher the dry matter content, the higher the proportion of solid phase after separation. In this project, we found that the fermentation residues could be divided into 79.2% fluid phase with a dry matter content of 4.5% and 20.8% solid phase with a dry matter content of 19.3%. Dry matter, volatile solids and carbon, raw ash and phosphate--in relation to the mass--accumulated strongly in the solid phase. Nitrogen and ammonia nitrogen were slightly enriched in the solid phase. Only the potassium content decreased slightly in the solid phase.", "author" : [ { "dropping-particle" : "", "family" : "Bauer", "given" : "Alexander", "non-dropping-particle" : "", "parse-names" : false, "suffix" : "" }, { "dropping-particle" : "", "family" : "Mayr", "given" : "Herwig", "non-dropping-particle" : "", "parse-names" : false, "suffix" : "" }, { "dropping-particle" : "", "family" : "Hopfner-Sixt", "given" : "Katharina", "non-dropping-particle" : "", "parse-names" : false, "suffix" : "" }, { "dropping-particle" : "", "family" : "Amon", "given" : "Thomas", "non-dropping-particle" : "", "parse-names" : false, "suffix" : "" } ], "container-title" : "Journal of biotechnology", "id" : "ITEM-1", "issue" : "1", "issued" : { "date-parts" : [ [ "2009", "6" ] ] }, "page" : "56-63", "title" : "Detailed monitoring of two biogas plants and mechanical solid-liquid separation of fermentation residues.", "type" : "article-journal", "volume" : "142" }, "uris" : [ "http://www.mendeley.com/documents/?uuid=8e5b7e1a-dee0-31b0-8ea3-f499e0ba6155", "http://www.mendeley.com/documents/?uuid=d34fa847-cdd4-43e9-8cbd-bf5d4442533c", "http://www.mendeley.com/documents/?uuid=4d62c10c-0d27-45b7-9c81-fcc0728dc675" ] } ], "mendeley" : { "formattedCitation" : "(Bauer et al., 2009)", "plainTextFormattedCitation" : "(Bauer et al., 2009)", "previouslyFormattedCitation" : "(Bauer et al., 2009)" }, "properties" : {  }, "schema" : "https://github.com/citation-style-language/schema/raw/master/csl-citation.json" }</w:instrText>
      </w:r>
      <w:r w:rsidR="00197764" w:rsidRPr="000412A1">
        <w:rPr>
          <w:sz w:val="22"/>
          <w:szCs w:val="22"/>
        </w:rPr>
        <w:fldChar w:fldCharType="separate"/>
      </w:r>
      <w:r w:rsidR="00FD4989" w:rsidRPr="000412A1">
        <w:rPr>
          <w:noProof/>
          <w:sz w:val="22"/>
          <w:szCs w:val="22"/>
        </w:rPr>
        <w:t>(Bauer et al., 2009)</w:t>
      </w:r>
      <w:r w:rsidR="00197764" w:rsidRPr="000412A1">
        <w:rPr>
          <w:sz w:val="22"/>
          <w:szCs w:val="22"/>
        </w:rPr>
        <w:fldChar w:fldCharType="end"/>
      </w:r>
      <w:r w:rsidR="00197764" w:rsidRPr="000412A1">
        <w:rPr>
          <w:sz w:val="22"/>
          <w:szCs w:val="22"/>
        </w:rPr>
        <w:t>.</w:t>
      </w:r>
      <w:r w:rsidR="00CD2BFF" w:rsidRPr="000412A1">
        <w:rPr>
          <w:sz w:val="22"/>
          <w:szCs w:val="22"/>
        </w:rPr>
        <w:t xml:space="preserve"> </w:t>
      </w:r>
      <w:r w:rsidR="007B1838" w:rsidRPr="000412A1">
        <w:rPr>
          <w:sz w:val="22"/>
          <w:szCs w:val="22"/>
        </w:rPr>
        <w:t xml:space="preserve">These </w:t>
      </w:r>
      <w:r w:rsidR="00524996" w:rsidRPr="000412A1">
        <w:rPr>
          <w:sz w:val="22"/>
          <w:szCs w:val="22"/>
        </w:rPr>
        <w:t xml:space="preserve">drawbacks </w:t>
      </w:r>
      <w:r w:rsidR="007B1838" w:rsidRPr="000412A1">
        <w:rPr>
          <w:sz w:val="22"/>
          <w:szCs w:val="22"/>
        </w:rPr>
        <w:t xml:space="preserve">have </w:t>
      </w:r>
      <w:r w:rsidR="000D2030" w:rsidRPr="000412A1">
        <w:rPr>
          <w:sz w:val="22"/>
          <w:szCs w:val="22"/>
        </w:rPr>
        <w:t xml:space="preserve">shifted </w:t>
      </w:r>
      <w:r w:rsidR="00A21A65" w:rsidRPr="000412A1">
        <w:rPr>
          <w:sz w:val="22"/>
          <w:szCs w:val="22"/>
        </w:rPr>
        <w:t>the</w:t>
      </w:r>
      <w:r w:rsidR="000D2030" w:rsidRPr="000412A1">
        <w:rPr>
          <w:sz w:val="22"/>
          <w:szCs w:val="22"/>
        </w:rPr>
        <w:t xml:space="preserve"> research</w:t>
      </w:r>
      <w:r w:rsidR="00A21A65" w:rsidRPr="000412A1">
        <w:rPr>
          <w:sz w:val="22"/>
          <w:szCs w:val="22"/>
        </w:rPr>
        <w:t xml:space="preserve"> </w:t>
      </w:r>
      <w:r w:rsidR="007B1838" w:rsidRPr="000412A1">
        <w:rPr>
          <w:sz w:val="22"/>
          <w:szCs w:val="22"/>
        </w:rPr>
        <w:t>focus</w:t>
      </w:r>
      <w:r w:rsidR="00A21A65" w:rsidRPr="000412A1">
        <w:rPr>
          <w:sz w:val="22"/>
          <w:szCs w:val="22"/>
        </w:rPr>
        <w:t xml:space="preserve"> on </w:t>
      </w:r>
      <w:r w:rsidR="00EA5C52" w:rsidRPr="000412A1">
        <w:rPr>
          <w:sz w:val="22"/>
          <w:szCs w:val="22"/>
        </w:rPr>
        <w:t>diffe</w:t>
      </w:r>
      <w:r w:rsidR="00560AA7" w:rsidRPr="000412A1">
        <w:rPr>
          <w:sz w:val="22"/>
          <w:szCs w:val="22"/>
        </w:rPr>
        <w:t>ren</w:t>
      </w:r>
      <w:r w:rsidR="00EA5C52" w:rsidRPr="000412A1">
        <w:rPr>
          <w:sz w:val="22"/>
          <w:szCs w:val="22"/>
        </w:rPr>
        <w:t xml:space="preserve">t </w:t>
      </w:r>
      <w:proofErr w:type="spellStart"/>
      <w:r w:rsidR="00740310" w:rsidRPr="000412A1">
        <w:rPr>
          <w:sz w:val="22"/>
          <w:szCs w:val="22"/>
        </w:rPr>
        <w:t>pretreatment</w:t>
      </w:r>
      <w:proofErr w:type="spellEnd"/>
      <w:r w:rsidR="00A21A65" w:rsidRPr="000412A1">
        <w:rPr>
          <w:sz w:val="22"/>
          <w:szCs w:val="22"/>
        </w:rPr>
        <w:t xml:space="preserve"> </w:t>
      </w:r>
      <w:r w:rsidR="007B1838" w:rsidRPr="000412A1">
        <w:rPr>
          <w:sz w:val="22"/>
          <w:szCs w:val="22"/>
        </w:rPr>
        <w:t>strategies</w:t>
      </w:r>
      <w:r w:rsidR="00C97941" w:rsidRPr="000412A1">
        <w:rPr>
          <w:sz w:val="22"/>
          <w:szCs w:val="22"/>
        </w:rPr>
        <w:t xml:space="preserve"> </w:t>
      </w:r>
      <w:r w:rsidR="00EA5C52" w:rsidRPr="000412A1">
        <w:rPr>
          <w:sz w:val="22"/>
          <w:szCs w:val="22"/>
        </w:rPr>
        <w:t>that may</w:t>
      </w:r>
      <w:r w:rsidR="00C97941" w:rsidRPr="000412A1">
        <w:rPr>
          <w:sz w:val="22"/>
          <w:szCs w:val="22"/>
        </w:rPr>
        <w:t xml:space="preserve"> </w:t>
      </w:r>
      <w:r w:rsidR="00A21A65" w:rsidRPr="000412A1">
        <w:rPr>
          <w:sz w:val="22"/>
          <w:szCs w:val="22"/>
        </w:rPr>
        <w:t xml:space="preserve">aid in the stabilisation of organic material and dewatering </w:t>
      </w:r>
      <w:r w:rsidR="00EA5C52" w:rsidRPr="000412A1">
        <w:rPr>
          <w:sz w:val="22"/>
          <w:szCs w:val="22"/>
        </w:rPr>
        <w:fldChar w:fldCharType="begin" w:fldLock="1"/>
      </w:r>
      <w:r w:rsidR="00A07857" w:rsidRPr="000412A1">
        <w:rPr>
          <w:sz w:val="22"/>
          <w:szCs w:val="22"/>
        </w:rPr>
        <w:instrText>ADDIN CSL_CITATION { "citationItems" : [ { "id" : "ITEM-1", "itemData" : { "DOI" : "10.1016/j.cej.2015.02.001", "ISSN" : "13858947", "abstract" : "The study aimed to develop a rapid and practical Fenton treatment technique for sludge dewatering. The results indicated that the Fenton reaction time could be shortened to 5min under suitable conditions. In addition, an orthogonal experimental design method was used to optimize the rapid Fenton treatment process. The optimal conditions were as followings, pH 3, Fe2+ of 50mg/gDS (dry solids), H2O2 of 30mg/gDS and lime of 50mg/gDS, at which the specific resistance to filtration (SRF) reduction efficiency of 96% was achieved. The dosage of Fe2+ was demonstrated to be the most significant factor affecting sludge dewaterability. Furthermore, the lowest extracellular polymeric substances (EPS) concentration in the sludge supernatant was measured under the optimal conditions, suggesting that Fenton's reagent acted both as an oxidant and as an effective coagulant for the sludge fragments. The morphology of the sludge cake exhibited a relatively regular and spongy block-like structure, which could maintain high permeability during high-pressure filtration. With the novel filter press achieved the squeezing pressure up to 40MPa, the water content of sludge cake could be reduced to 55.1\u00b10.6%. Additionally, the economic assessment shows that the rapid Fenton treatment combined with high-pressure filtration can be a suitable technique for sewage sludge dewatering.", "author" : [ { "dropping-particle" : "", "family" : "Mo", "given" : "Rusong", "non-dropping-particle" : "", "parse-names" : false, "suffix" : "" }, { "dropping-particle" : "", "family" : "Huang", "given" : "Shaosong", "non-dropping-particle" : "", "parse-names" : false, "suffix" : "" }, { "dropping-particle" : "", "family" : "Dai", "given" : "Wencan", "non-dropping-particle" : "", "parse-names" : false, "suffix" : "" }, { "dropping-particle" : "", "family" : "Liang", "given" : "Jialin", "non-dropping-particle" : "", "parse-names" : false, "suffix" : "" }, { "dropping-particle" : "", "family" : "Sun", "given" : "Shuiyu", "non-dropping-particle" : "", "parse-names" : false, "suffix" : "" } ], "container-title" : "Chemical Engineering Journal", "id" : "ITEM-1", "issued" : { "date-parts" : [ [ "2015" ] ] }, "title" : "A rapid Fenton treatment technique for sewage sludge dewatering", "type" : "article-journal" }, "uris" : [ "http://www.mendeley.com/documents/?uuid=43dfd9ec-4fe3-3fdf-9d21-0026b7a0c905", "http://www.mendeley.com/documents/?uuid=272663ef-7f2b-4655-858e-f9dd7476ab20", "http://www.mendeley.com/documents/?uuid=24e52149-ff8c-4d53-8703-e80f82c1b75c" ] }, { "id" : "ITEM-2", "itemData" : { "DOI" : "10.3390/w7116483", "ISSN" : "2073-4441", "abstract" : "The aim of this work was to study the effect of ultrasonic pretreatment on sludge digestion, particle size distribution (PSD), and dewaterability of digestates (measured by capillary suction time (CST) and specific resistance to filtration (SRF)). Sludge was pretreated with ultrasound (24 kHz) at an energy dosage of 4300 kJ/kg TS. Digestibility of sludge was increased by ultrasound pretreatment resulting in a higher specific methane production (SMP). The digestate of pretreated waste activated sludge (WAS) obtained under batch conditions presented a better dewatering performance. Digestion under  semi-continuous conditions was evaluated using sewage sludge (mixture of primary sludge and WAS). In this case, digestates presented a much higher mean particle size for both cases evaluated (pretreated and non-pretreated) than that obtained under batch conditions. A wide PSD was a characteristic of these digestate samples. Flow dynamics inside the reactor resulted in the presence of high-diameter flocs, thus significantly affecting the mean particle size and specific surface area (SSA) values.", "author" : [ { "dropping-particle" : "", "family" : "Mart\u00ednez", "given" : "Elia", "non-dropping-particle" : "", "parse-names" : false, "suffix" : "" }, { "dropping-particle" : "", "family" : "Rosas", "given" : "Jose", "non-dropping-particle" : "", "parse-names" : false, "suffix" : "" }, { "dropping-particle" : "", "family" : "Mor\u00e1n", "given" : "Antonio", "non-dropping-particle" : "", "parse-names" : false, "suffix" : "" }, { "dropping-particle" : "", "family" : "G\u00f3mez", "given" : "Xiomar", "non-dropping-particle" : "", "parse-names" : false, "suffix" : "" } ], "container-title" : "Water", "id" : "ITEM-2", "issue" : "11", "issued" : { "date-parts" : [ [ "2015", "11", "13" ] ] }, "language" : "en", "page" : "6483-6495", "publisher" : "Multidisciplinary Digital Publishing Institute", "title" : "Effect of Ultrasound Pretreatment on Sludge Digestion and Dewatering Characteristics: Application of Particle Size Analysis", "type" : "article-journal", "volume" : "7" }, "uris" : [ "http://www.mendeley.com/documents/?uuid=e1e41e03-2089-4ad6-a5d7-ea6edfce3f30", "http://www.mendeley.com/documents/?uuid=cfb3cdd3-9094-4d81-b6be-82b5d18dec08" ] }, { "id" : "ITEM-3", "itemData" : { "DOI" : "10.1016/j.watres.2017.03.047", "ISSN" : "18792448", "abstract" : "To test the feasibility and practicability of the process combing hydrothermal pretreatment for dewatering with biogas production for full utilization of sewage sludge, hydrothermal/alkaline hydrothermal pretreatments and in turn anaerobic digestion of the filtrates obtained after dewatering the pretreated sludge were performed at bench- and pilot-scales. The hydrothermal temperature fell within the range of 140\u00a0\u00b0C\u2013220\u00a0\u00b0C and the pretreatment time varied from 30\u00a0min to 120\u00a0min. For the alkaline hydrothermal pretreatment the pH value of the sludge was adjusted to 9.0\u201311.0 by adding Ca(OH)2. The results showed that the dewaterability of the sewage sludge was improved with increasing pretreatment temperature but the impact of the pretreatment time was not significant. The addition of Ca(OH)2 gave better performance on the subsequent mechanical dewatering of the pretreated sludge compared to pure hydrothermal pretreatment, and the higher the pH value was, the better the dewaterability of the pretreated sludge was. The conditions of 180\u00a0\u00b0C/30\u00a0min and 160\u00a0\u00b0C/60\u00a0min/pH\u00a0=\u00a010.0 (for hydrothermal and alkaline hydrothermal pretreatments, respectively) resulted in relatively good results in the theoretical energy balance, which were verified in the pilot-scale tests. Based on the data from the pilot tests, the alkaline hydrothermal process realized self-sufficiency in energy at the cost of a proper amount of CaO.", "author" : [ { "dropping-particle" : "", "family" : "Li", "given" : "Chunxing", "non-dropping-particle" : "", "parse-names" : false, "suffix" : "" }, { "dropping-particle" : "", "family" : "Wang", "given" : "Xingdong", "non-dropping-particle" : "", "parse-names" : false, "suffix" : "" }, { "dropping-particle" : "", "family" : "Zhang", "given" : "Guangyi", "non-dropping-particle" : "", "parse-names" : false, "suffix" : "" }, { "dropping-particle" : "", "family" : "Yu", "given" : "Guangwei", "non-dropping-particle" : "", "parse-names" : false, "suffix" : "" }, { "dropping-particle" : "", "family" : "Lin", "given" : "Jingjiang", "non-dropping-particle" : "", "parse-names" : false, "suffix" : "" }, { "dropping-particle" : "", "family" : "Wang", "given" : "Yin", "non-dropping-particle" : "", "parse-names" : false, "suffix" : "" } ], "container-title" : "Water Research", "id" : "ITEM-3", "issue" : "2016", "issued" : { "date-parts" : [ [ "2017" ] ] }, "page" : "49-57", "publisher" : "Elsevier Ltd", "title" : "Hydrothermal and alkaline hydrothermal pretreatments plus anaerobic digestion of sewage sludge for dewatering and biogas production: Bench-scale research and pilot-scale verification", "type" : "article-journal", "volume" : "117" }, "uris" : [ "http://www.mendeley.com/documents/?uuid=322d2c89-2804-48bd-a2e8-551d0f731095", "http://www.mendeley.com/documents/?uuid=525f6d4d-f685-4d10-a801-b4889ac1148c", "http://www.mendeley.com/documents/?uuid=d5abd69b-bf4c-4731-b9e7-8e030da5053a" ] } ], "mendeley" : { "formattedCitation" : "(Li et al., 2017; Mart\u00ednez et al., 2015; Mo et al., 2015)", "plainTextFormattedCitation" : "(Li et al., 2017; Mart\u00ednez et al., 2015; Mo et al., 2015)", "previouslyFormattedCitation" : "(Li et al., 2017; Mart\u00ednez et al., 2015; Mo et al., 2015)" }, "properties" : {  }, "schema" : "https://github.com/citation-style-language/schema/raw/master/csl-citation.json" }</w:instrText>
      </w:r>
      <w:r w:rsidR="00EA5C52" w:rsidRPr="000412A1">
        <w:rPr>
          <w:sz w:val="22"/>
          <w:szCs w:val="22"/>
        </w:rPr>
        <w:fldChar w:fldCharType="separate"/>
      </w:r>
      <w:r w:rsidR="00B243EF" w:rsidRPr="000412A1">
        <w:rPr>
          <w:noProof/>
          <w:sz w:val="22"/>
          <w:szCs w:val="22"/>
        </w:rPr>
        <w:t>(Li et al., 2017; Martínez et al., 2015; Mo et al., 2015)</w:t>
      </w:r>
      <w:r w:rsidR="00EA5C52" w:rsidRPr="000412A1">
        <w:rPr>
          <w:sz w:val="22"/>
          <w:szCs w:val="22"/>
        </w:rPr>
        <w:fldChar w:fldCharType="end"/>
      </w:r>
      <w:r w:rsidR="00EA5C52" w:rsidRPr="000412A1">
        <w:rPr>
          <w:sz w:val="22"/>
          <w:szCs w:val="22"/>
        </w:rPr>
        <w:t xml:space="preserve">. </w:t>
      </w:r>
      <w:r w:rsidR="001F70CA" w:rsidRPr="000412A1">
        <w:rPr>
          <w:sz w:val="22"/>
          <w:szCs w:val="22"/>
        </w:rPr>
        <w:t xml:space="preserve">The different </w:t>
      </w:r>
      <w:proofErr w:type="spellStart"/>
      <w:r w:rsidR="00740310" w:rsidRPr="000412A1">
        <w:rPr>
          <w:sz w:val="22"/>
          <w:szCs w:val="22"/>
        </w:rPr>
        <w:t>pretreatment</w:t>
      </w:r>
      <w:proofErr w:type="spellEnd"/>
      <w:r w:rsidR="00665B10" w:rsidRPr="000412A1">
        <w:rPr>
          <w:sz w:val="22"/>
          <w:szCs w:val="22"/>
        </w:rPr>
        <w:t xml:space="preserve"> techniques are not</w:t>
      </w:r>
      <w:r w:rsidR="001F70CA" w:rsidRPr="000412A1">
        <w:rPr>
          <w:sz w:val="22"/>
          <w:szCs w:val="22"/>
        </w:rPr>
        <w:t xml:space="preserve"> always</w:t>
      </w:r>
      <w:r w:rsidR="00665B10" w:rsidRPr="000412A1">
        <w:rPr>
          <w:sz w:val="22"/>
          <w:szCs w:val="22"/>
        </w:rPr>
        <w:t xml:space="preserve"> capable of </w:t>
      </w:r>
      <w:r w:rsidR="001F70CA" w:rsidRPr="000412A1">
        <w:rPr>
          <w:sz w:val="22"/>
          <w:szCs w:val="22"/>
        </w:rPr>
        <w:t xml:space="preserve">attaining all needs associated with </w:t>
      </w:r>
      <w:r w:rsidR="000412A1" w:rsidRPr="000412A1">
        <w:rPr>
          <w:sz w:val="22"/>
          <w:szCs w:val="22"/>
        </w:rPr>
        <w:t xml:space="preserve">the </w:t>
      </w:r>
      <w:r w:rsidR="008B00D8" w:rsidRPr="000412A1">
        <w:rPr>
          <w:sz w:val="22"/>
          <w:szCs w:val="22"/>
        </w:rPr>
        <w:t>water removal</w:t>
      </w:r>
      <w:r w:rsidR="00665B10" w:rsidRPr="000412A1">
        <w:rPr>
          <w:sz w:val="22"/>
          <w:szCs w:val="22"/>
        </w:rPr>
        <w:t xml:space="preserve"> of sludge, </w:t>
      </w:r>
      <w:r w:rsidR="001F70CA" w:rsidRPr="000412A1">
        <w:rPr>
          <w:sz w:val="22"/>
          <w:szCs w:val="22"/>
        </w:rPr>
        <w:t xml:space="preserve">reducing </w:t>
      </w:r>
      <w:r w:rsidR="00665B10" w:rsidRPr="000412A1">
        <w:rPr>
          <w:sz w:val="22"/>
          <w:szCs w:val="22"/>
        </w:rPr>
        <w:t>odours</w:t>
      </w:r>
      <w:r w:rsidR="000412A1" w:rsidRPr="000412A1">
        <w:rPr>
          <w:sz w:val="22"/>
          <w:szCs w:val="22"/>
        </w:rPr>
        <w:t xml:space="preserve"> and</w:t>
      </w:r>
      <w:r w:rsidR="00665B10" w:rsidRPr="000412A1">
        <w:rPr>
          <w:sz w:val="22"/>
          <w:szCs w:val="22"/>
        </w:rPr>
        <w:t xml:space="preserve"> toxicity</w:t>
      </w:r>
      <w:r w:rsidR="000412A1" w:rsidRPr="000412A1">
        <w:rPr>
          <w:sz w:val="22"/>
          <w:szCs w:val="22"/>
        </w:rPr>
        <w:t>,</w:t>
      </w:r>
      <w:r w:rsidR="00665B10" w:rsidRPr="000412A1">
        <w:rPr>
          <w:sz w:val="22"/>
          <w:szCs w:val="22"/>
        </w:rPr>
        <w:t xml:space="preserve"> and</w:t>
      </w:r>
      <w:r w:rsidR="000412A1" w:rsidRPr="000412A1">
        <w:rPr>
          <w:sz w:val="22"/>
          <w:szCs w:val="22"/>
        </w:rPr>
        <w:t xml:space="preserve"> the</w:t>
      </w:r>
      <w:r w:rsidR="00665B10" w:rsidRPr="000412A1">
        <w:rPr>
          <w:sz w:val="22"/>
          <w:szCs w:val="22"/>
        </w:rPr>
        <w:t xml:space="preserve"> removal of pathogens</w:t>
      </w:r>
      <w:r w:rsidR="00AE0D3C" w:rsidRPr="000412A1">
        <w:rPr>
          <w:sz w:val="22"/>
          <w:szCs w:val="22"/>
        </w:rPr>
        <w:t xml:space="preserve"> </w:t>
      </w:r>
      <w:r w:rsidR="00A85FE6" w:rsidRPr="000412A1">
        <w:rPr>
          <w:sz w:val="22"/>
          <w:szCs w:val="22"/>
        </w:rPr>
        <w:fldChar w:fldCharType="begin" w:fldLock="1"/>
      </w:r>
      <w:r w:rsidR="00A07857" w:rsidRPr="000412A1">
        <w:rPr>
          <w:sz w:val="22"/>
          <w:szCs w:val="22"/>
        </w:rPr>
        <w:instrText>ADDIN CSL_CITATION { "citationItems" : [ { "id" : "ITEM-1", "itemData" : { "DOI" : "10.1061/(asce)ee.1943-7870.0000538", "ISSN" : "0733-9372", "abstract" : "The objective of this research was to investigate, at the laboratory scale, the performance of an electrochemical process for enhancing dewaterability and stabilizing wastewater sludge from municipal wastewater treatment plants. This process has the advantage of simultaneous disinfection and odor removal from sludge. The equipment consisted of a 12-L cylindrical electrolytic cell containing a Ti/RuO2 anode and Ti cathode. Current intensities varying from 5.0 to 10 A were tested in the absence and presence of the electrolytes H2SO4 [10-27-kg/ton of dry matter (tDM)] and NaCl (88-354-kg/tDM). Best performance with respect to sludge treatment and stabilization was obtained when the electrolytic cell was operated for 60 min at 8.0 A, with energy consumption of 856-kWh/tDM, in the presence of 177 kg NaCl/tDM and 23.3-kg-H2SO4/tDM. The electrochemical treatment induces particles to agglomerate and enhances the filterability of wastewater sludge during dewatering in the presence of the cationic polymer Percol 789 (2.5-kg/tDM). The process was efficient in increasing the dryness of sludge. A 6 to 10% increase in total solids in dehydrated sludge was expected. The electrochemical process was also found to be effective in removing indicator pathogens (abatement&gt;4-5-log units of total and fecal coliforms) and unpleasant odors. At the same time, it preserved the fertilizing properties of the sludge by maintaining concentrations of inorganic nutrients (total phosphorus and total Kjeldahl nitrogen) and organic matter (chemical oxygen demand) in dewatered sludge. \u00a9 2012 American Society of Civil Engineers.", "author" : [ { "dropping-particle" : "", "family" : "Bureau", "given" : "Marc-Andr\u00e9", "non-dropping-particle" : "", "parse-names" : false, "suffix" : "" }, { "dropping-particle" : "", "family" : "Drogui", "given" : "Patrick", "non-dropping-particle" : "", "parse-names" : false, "suffix" : "" }, { "dropping-particle" : "", "family" : "Sellamuthu", "given" : "Balasubramanian", "non-dropping-particle" : "", "parse-names" : false, "suffix" : "" }, { "dropping-particle" : "", "family" : "Blais", "given" : "Jean Fran\u00e7ois", "non-dropping-particle" : "", "parse-names" : false, "suffix" : "" }, { "dropping-particle" : "", "family" : "Mercier", "given" : "Guy", "non-dropping-particle" : "", "parse-names" : false, "suffix" : "" } ], "container-title" : "Journal of Environmental Engineering", "id" : "ITEM-1", "issued" : { "date-parts" : [ [ "2012" ] ] }, "title" : "Municipal Wastewater Sludge Stabilization and Treatment Using Electrochemical Oxidation Technique", "type" : "article-journal" }, "uris" : [ "http://www.mendeley.com/documents/?uuid=7c6aa356-8cd6-30ee-b42e-5eb6a5d5d20e", "http://www.mendeley.com/documents/?uuid=a80bd74d-7970-4301-a3d0-fae591802c2f", "http://www.mendeley.com/documents/?uuid=f1dc6987-b4c8-4e63-8b1f-a0e92393295a" ] } ], "mendeley" : { "formattedCitation" : "(Bureau et al., 2012)", "plainTextFormattedCitation" : "(Bureau et al., 2012)", "previouslyFormattedCitation" : "(Bureau et al., 2012)" }, "properties" : {  }, "schema" : "https://github.com/citation-style-language/schema/raw/master/csl-citation.json" }</w:instrText>
      </w:r>
      <w:r w:rsidR="00A85FE6" w:rsidRPr="000412A1">
        <w:rPr>
          <w:sz w:val="22"/>
          <w:szCs w:val="22"/>
        </w:rPr>
        <w:fldChar w:fldCharType="separate"/>
      </w:r>
      <w:r w:rsidR="00FD4989" w:rsidRPr="000412A1">
        <w:rPr>
          <w:noProof/>
          <w:sz w:val="22"/>
          <w:szCs w:val="22"/>
        </w:rPr>
        <w:t>(Bureau et al., 2012)</w:t>
      </w:r>
      <w:r w:rsidR="00A85FE6" w:rsidRPr="000412A1">
        <w:rPr>
          <w:sz w:val="22"/>
          <w:szCs w:val="22"/>
        </w:rPr>
        <w:fldChar w:fldCharType="end"/>
      </w:r>
      <w:r w:rsidR="001F70CA" w:rsidRPr="000412A1">
        <w:rPr>
          <w:sz w:val="22"/>
          <w:szCs w:val="22"/>
        </w:rPr>
        <w:t>.</w:t>
      </w:r>
      <w:r w:rsidR="00665B10" w:rsidRPr="000412A1">
        <w:rPr>
          <w:sz w:val="22"/>
          <w:szCs w:val="22"/>
        </w:rPr>
        <w:t xml:space="preserve"> </w:t>
      </w:r>
      <w:r w:rsidR="00524996" w:rsidRPr="000412A1">
        <w:rPr>
          <w:sz w:val="22"/>
          <w:szCs w:val="22"/>
        </w:rPr>
        <w:t>To this extent</w:t>
      </w:r>
      <w:r w:rsidR="001F70CA" w:rsidRPr="000412A1">
        <w:rPr>
          <w:sz w:val="22"/>
          <w:szCs w:val="22"/>
        </w:rPr>
        <w:t xml:space="preserve">, </w:t>
      </w:r>
      <w:r w:rsidR="00EA5C52" w:rsidRPr="000412A1">
        <w:rPr>
          <w:sz w:val="22"/>
          <w:szCs w:val="22"/>
        </w:rPr>
        <w:t xml:space="preserve">electrolysis has </w:t>
      </w:r>
      <w:r w:rsidR="00524996" w:rsidRPr="000412A1">
        <w:rPr>
          <w:sz w:val="22"/>
          <w:szCs w:val="22"/>
        </w:rPr>
        <w:t>recently emerged</w:t>
      </w:r>
      <w:r w:rsidR="00EA5C52" w:rsidRPr="000412A1">
        <w:rPr>
          <w:sz w:val="22"/>
          <w:szCs w:val="22"/>
        </w:rPr>
        <w:t xml:space="preserve"> as </w:t>
      </w:r>
      <w:r w:rsidR="000412A1" w:rsidRPr="000412A1">
        <w:rPr>
          <w:sz w:val="22"/>
          <w:szCs w:val="22"/>
        </w:rPr>
        <w:t xml:space="preserve">an </w:t>
      </w:r>
      <w:r w:rsidR="00524996" w:rsidRPr="000412A1">
        <w:rPr>
          <w:sz w:val="22"/>
          <w:szCs w:val="22"/>
        </w:rPr>
        <w:t>alternative</w:t>
      </w:r>
      <w:r w:rsidR="00EA5C52" w:rsidRPr="000412A1">
        <w:rPr>
          <w:sz w:val="22"/>
          <w:szCs w:val="22"/>
        </w:rPr>
        <w:t xml:space="preserve"> dewatering and </w:t>
      </w:r>
      <w:r w:rsidR="001F70CA" w:rsidRPr="000412A1">
        <w:rPr>
          <w:sz w:val="22"/>
          <w:szCs w:val="22"/>
        </w:rPr>
        <w:t xml:space="preserve">stabilising </w:t>
      </w:r>
      <w:r w:rsidR="00EA5C52" w:rsidRPr="000412A1">
        <w:rPr>
          <w:sz w:val="22"/>
          <w:szCs w:val="22"/>
        </w:rPr>
        <w:t>technique</w:t>
      </w:r>
      <w:r w:rsidR="003803F4" w:rsidRPr="000412A1">
        <w:rPr>
          <w:sz w:val="22"/>
          <w:szCs w:val="22"/>
        </w:rPr>
        <w:t xml:space="preserve">. This technology has high </w:t>
      </w:r>
      <w:r w:rsidR="001F70CA" w:rsidRPr="000412A1">
        <w:rPr>
          <w:sz w:val="22"/>
          <w:szCs w:val="22"/>
        </w:rPr>
        <w:t xml:space="preserve">capacity </w:t>
      </w:r>
      <w:r w:rsidR="003803F4" w:rsidRPr="000412A1">
        <w:rPr>
          <w:sz w:val="22"/>
          <w:szCs w:val="22"/>
        </w:rPr>
        <w:t xml:space="preserve">for </w:t>
      </w:r>
      <w:r w:rsidR="001F70CA" w:rsidRPr="000412A1">
        <w:rPr>
          <w:sz w:val="22"/>
          <w:szCs w:val="22"/>
        </w:rPr>
        <w:t xml:space="preserve">solubilising </w:t>
      </w:r>
      <w:r w:rsidR="003803F4" w:rsidRPr="000412A1">
        <w:rPr>
          <w:sz w:val="22"/>
          <w:szCs w:val="22"/>
        </w:rPr>
        <w:t xml:space="preserve">organics </w:t>
      </w:r>
      <w:r w:rsidR="001F70CA" w:rsidRPr="000412A1">
        <w:rPr>
          <w:sz w:val="22"/>
          <w:szCs w:val="22"/>
        </w:rPr>
        <w:t xml:space="preserve">contained in </w:t>
      </w:r>
      <w:r w:rsidR="00EA5C52" w:rsidRPr="000412A1">
        <w:rPr>
          <w:sz w:val="22"/>
          <w:szCs w:val="22"/>
        </w:rPr>
        <w:t xml:space="preserve">sludge with </w:t>
      </w:r>
      <w:r w:rsidR="003803F4" w:rsidRPr="000412A1">
        <w:rPr>
          <w:sz w:val="22"/>
          <w:szCs w:val="22"/>
        </w:rPr>
        <w:t>almost</w:t>
      </w:r>
      <w:r w:rsidR="00EA5C52" w:rsidRPr="000412A1">
        <w:rPr>
          <w:sz w:val="22"/>
          <w:szCs w:val="22"/>
        </w:rPr>
        <w:t xml:space="preserve"> </w:t>
      </w:r>
      <w:r w:rsidR="005250FC" w:rsidRPr="000412A1">
        <w:rPr>
          <w:sz w:val="22"/>
          <w:szCs w:val="22"/>
        </w:rPr>
        <w:t>negligible</w:t>
      </w:r>
      <w:r w:rsidR="00EA5C52" w:rsidRPr="000412A1">
        <w:rPr>
          <w:sz w:val="22"/>
          <w:szCs w:val="22"/>
        </w:rPr>
        <w:t xml:space="preserve"> environmental impact</w:t>
      </w:r>
      <w:r w:rsidR="00524996" w:rsidRPr="000412A1">
        <w:rPr>
          <w:sz w:val="22"/>
          <w:szCs w:val="22"/>
        </w:rPr>
        <w:t>,</w:t>
      </w:r>
      <w:r w:rsidR="004D7D53" w:rsidRPr="000412A1">
        <w:rPr>
          <w:sz w:val="22"/>
          <w:szCs w:val="22"/>
        </w:rPr>
        <w:t xml:space="preserve"> </w:t>
      </w:r>
      <w:r w:rsidR="00524996" w:rsidRPr="000412A1">
        <w:rPr>
          <w:sz w:val="22"/>
          <w:szCs w:val="22"/>
        </w:rPr>
        <w:t xml:space="preserve">which can </w:t>
      </w:r>
      <w:r w:rsidR="004D7D53" w:rsidRPr="000412A1">
        <w:rPr>
          <w:sz w:val="22"/>
          <w:szCs w:val="22"/>
        </w:rPr>
        <w:t>reduc</w:t>
      </w:r>
      <w:r w:rsidR="00524996" w:rsidRPr="000412A1">
        <w:rPr>
          <w:sz w:val="22"/>
          <w:szCs w:val="22"/>
        </w:rPr>
        <w:t>e the</w:t>
      </w:r>
      <w:r w:rsidR="004D7D53" w:rsidRPr="000412A1">
        <w:rPr>
          <w:sz w:val="22"/>
          <w:szCs w:val="22"/>
        </w:rPr>
        <w:t xml:space="preserve"> cost</w:t>
      </w:r>
      <w:r w:rsidR="001F70CA" w:rsidRPr="000412A1">
        <w:rPr>
          <w:sz w:val="22"/>
          <w:szCs w:val="22"/>
        </w:rPr>
        <w:t xml:space="preserve">s </w:t>
      </w:r>
      <w:r w:rsidR="00524996" w:rsidRPr="000412A1">
        <w:rPr>
          <w:sz w:val="22"/>
          <w:szCs w:val="22"/>
        </w:rPr>
        <w:t xml:space="preserve">for </w:t>
      </w:r>
      <w:r w:rsidR="001F70CA" w:rsidRPr="000412A1">
        <w:rPr>
          <w:sz w:val="22"/>
          <w:szCs w:val="22"/>
        </w:rPr>
        <w:t>sludge handling and final disposal</w:t>
      </w:r>
      <w:r w:rsidR="004D7D53" w:rsidRPr="000412A1">
        <w:rPr>
          <w:sz w:val="22"/>
          <w:szCs w:val="22"/>
        </w:rPr>
        <w:t xml:space="preserve"> </w:t>
      </w:r>
      <w:r w:rsidR="00A85FE6" w:rsidRPr="000412A1">
        <w:rPr>
          <w:sz w:val="22"/>
          <w:szCs w:val="22"/>
        </w:rPr>
        <w:fldChar w:fldCharType="begin" w:fldLock="1"/>
      </w:r>
      <w:r w:rsidR="00A07857" w:rsidRPr="000412A1">
        <w:rPr>
          <w:sz w:val="22"/>
          <w:szCs w:val="22"/>
        </w:rPr>
        <w:instrText>ADDIN CSL_CITATION { "citationItems" : [ { "id" : "ITEM-1", "itemData" : { "DOI" : "10.1016/j.jes.2018.03.007", "ISSN" : "18787320", "abstract" : "Electrolysis is a promising technology to improve sludge dewaterability efficiently with negligible environmental impact. To intensify the electrolytic efficiency, the effect of electrolytes (NaCl, Na 2 SO 4 , NaNO 3 , and NaClO 4 ) on electrolysis pretreatment of municipal sludge and its mechanisms was investigated using Ti/PbO 2 electrodes. The electrolytes, which enhanced the production of oxidative radicals, showed a significant synergetic effect in reducing the capillary suction time (CST) of sludge. NaCl was distinguished from the other electrolytes since it formed a large amount of active chlorine species, which oxidized the sludge cells to improve the sludge dewaterability. The surface morphologies as well as the soluble proteins and polysaccharides were analyzed to unravel the underlying mechanisms of sludge dewaterability. Additionally, an economic assessment showed that NaCl addition in the electrolysis pretreatment can be a suitable technique for enhancing municipal sludge dewaterability.", "author" : [ { "dropping-particle" : "", "family" : "Xiao", "given" : "Ke", "non-dropping-particle" : "", "parse-names" : false, "suffix" : "" }, { "dropping-particle" : "", "family" : "Deng", "given" : "Jianping", "non-dropping-particle" : "", "parse-names" : false, "suffix" : "" }, { "dropping-particle" : "", "family" : "Zeng", "given" : "Li", "non-dropping-particle" : "", "parse-names" : false, "suffix" : "" }, { "dropping-particle" : "", "family" : "Guo", "given" : "Tao", "non-dropping-particle" : "", "parse-names" : false, "suffix" : "" }, { "dropping-particle" : "", "family" : "Gong", "given" : "Yan", "non-dropping-particle" : "", "parse-names" : false, "suffix" : "" }, { "dropping-particle" : "", "family" : "Yang", "given" : "Bo", "non-dropping-particle" : "", "parse-names" : false, "suffix" : "" }, { "dropping-particle" : "", "family" : "Zhao", "given" : "Xu", "non-dropping-particle" : "", "parse-names" : false, "suffix" : "" }, { "dropping-particle" : "", "family" : "Duan", "given" : "Huabo", "non-dropping-particle" : "", "parse-names" : false, "suffix" : "" } ], "container-title" : "Journal of Environmental Sciences (China)", "id" : "ITEM-1", "issued" : { "date-parts" : [ [ "2019" ] ] }, "title" : "Enhancement of municipal sludge dewaterability by electrochemical pretreatment", "type" : "article-journal" }, "uris" : [ "http://www.mendeley.com/documents/?uuid=06ce42fa-3d31-3aa0-a1df-e1f734b79280", "http://www.mendeley.com/documents/?uuid=7396cec0-d9ad-4e7c-aa78-7c6e6e99df2f", "http://www.mendeley.com/documents/?uuid=73ede818-74c9-4b3e-9c25-99df419b1ff5" ] }, { "id" : "ITEM-2", "itemData" : { "DOI" : "10.1080/07373937.2012.654874", "ISSN" : "07373937", "abstract" : "Purification of municipal wastewater generates huge amounts of sewage sludge, which contains large quantities of water, biomass, and extracellular polymeric substances. It is widely known that sewage sludge usually has a poor dewaterability. A large amount of water in sludge directly translates into high transport and handling costs; therefore, sludge treatment and disposal usually requires over 50% of the operation budget for wastewater treatment plants. The application of a low electric field through the sludge segment, called electro-dewatering, is considered to improve the liquid-solid separation, resulting in low water content in the sludge cake. However, prediction of dewatering enhancement for sewage sludge, in particular, offers a challenge due to variations in sludge pretreatment practices and the lack of harmonized testing methodologies. In this review article, the aspects that have an effect on sewage sludge electro-dewatering and its feasibility are discussed in the light of recent technological developments. It was found that electro-dewatering has several potential benefits, such as removal of pathogens, reduction in energy and transportation costs, and prevention of filter fouling. \u00a9 2012 Copyright Taylor and Francis Group, LLC.", "author" : [ { "dropping-particle" : "", "family" : "Tuan", "given" : "Pham Anh", "non-dropping-particle" : "", "parse-names" : false, "suffix" : "" }, { "dropping-particle" : "", "family" : "Mika", "given" : "Sillanp\u00e4\u00e4", "non-dropping-particle" : "", "parse-names" : false, "suffix" : "" }, { "dropping-particle" : "", "family" : "Pirjo", "given" : "Isosaari", "non-dropping-particle" : "", "parse-names" : false, "suffix" : "" } ], "container-title" : "Drying Technology", "id" : "ITEM-2", "issued" : { "date-parts" : [ [ "2012" ] ] }, "title" : "Sewage Sludge Electro-Dewatering Treatment-A Review", "type" : "article" }, "uris" : [ "http://www.mendeley.com/documents/?uuid=3d8ec0a9-bd37-30eb-bc79-ac29564ed0d3", "http://www.mendeley.com/documents/?uuid=12b199d0-acd7-412f-a7a0-22ac79286777", "http://www.mendeley.com/documents/?uuid=f22aca97-ecfe-41ed-8d2e-d15d76ea5967" ] }, { "id" : "ITEM-3", "itemData" : { "DOI" : "10.1080/19443994.2014.958761", "ISSN" : "19443986", "abstract" : "\u00a9 2014 Balaban Desalination Publications. All rights reserved. The electrochemical oxidation of activated sludge (EOAS) was studied by direct anodic oxidation on the surfaces of stainless steel and graphite electrodes as well as by indirect anodic oxidation on Pb/PbO 2  surface. The effects of several operating parameters such as current density, charge passed, initial pH, mixing speed, and configuration, and position of electrodes on the removal rate of chemical oxygen demand (COD), total and fecal coliform were investigated. The experimental data indicated that COD removal rates were, respectively, 66.9 and 77.5% in direct and indirect methods. The results also showed that the Pb/PbO 2  electrode through indirect electrooxidation mediated based on the electrogeneration of physisorbed hydroxyl radical and other oxidants like active chlorine has higher mineralization rates and consumes the least energy. Over 99% of total and fecal coliform was removed, which is mainly attributed to electrogeneration of hypochlorite and chloride ions in the aqueous solution. Kinetic trend of COD and total and fecal coliform removal for Pb/PbO 2  electrode were obtained. In order to better function of EOAS, selection of suitable mixing speed and configuration and position of electrodes are essential.", "author" : [ { "dropping-particle" : "", "family" : "Rahmani", "given" : "Ali Reza", "non-dropping-particle" : "", "parse-names" : false, "suffix" : "" }, { "dropping-particle" : "", "family" : "Godini", "given" : "Kazem", "non-dropping-particle" : "", "parse-names" : false, "suffix" : "" }, { "dropping-particle" : "", "family" : "Nematollahi", "given" : "Davood", "non-dropping-particle" : "", "parse-names" : false, "suffix" : "" }, { "dropping-particle" : "", "family" : "Azarian", "given" : "Ghasem", "non-dropping-particle" : "", "parse-names" : false, "suffix" : "" } ], "container-title" : "Desalination and Water Treatment", "id" : "ITEM-3", "issued" : { "date-parts" : [ [ "2015" ] ] }, "title" : "Electrochemical oxidation of activated sludge by using direct and indirect anodic oxidation", "type" : "article-journal" }, "uris" : [ "http://www.mendeley.com/documents/?uuid=42e09f16-d087-3b12-99ea-8feb007bb9df", "http://www.mendeley.com/documents/?uuid=47008c18-1ff8-4a3c-814f-b9dd9bcc987d", "http://www.mendeley.com/documents/?uuid=a505a903-b644-4a37-a47f-c7f0d8a7301c" ] } ], "mendeley" : { "formattedCitation" : "(Rahmani et al., 2015; Tuan et al., 2012; Xiao et al., 2019)", "plainTextFormattedCitation" : "(Rahmani et al., 2015; Tuan et al., 2012; Xiao et al., 2019)", "previouslyFormattedCitation" : "(Rahmani et al., 2015; Tuan et al., 2012; Xiao et al., 2019)" }, "properties" : {  }, "schema" : "https://github.com/citation-style-language/schema/raw/master/csl-citation.json" }</w:instrText>
      </w:r>
      <w:r w:rsidR="00A85FE6" w:rsidRPr="000412A1">
        <w:rPr>
          <w:sz w:val="22"/>
          <w:szCs w:val="22"/>
        </w:rPr>
        <w:fldChar w:fldCharType="separate"/>
      </w:r>
      <w:r w:rsidR="00FD4989" w:rsidRPr="000412A1">
        <w:rPr>
          <w:noProof/>
          <w:sz w:val="22"/>
          <w:szCs w:val="22"/>
        </w:rPr>
        <w:t>(Rahmani et al., 2015; Tuan et al., 2012; Xiao et al., 2019)</w:t>
      </w:r>
      <w:r w:rsidR="00A85FE6" w:rsidRPr="000412A1">
        <w:rPr>
          <w:sz w:val="22"/>
          <w:szCs w:val="22"/>
        </w:rPr>
        <w:fldChar w:fldCharType="end"/>
      </w:r>
      <w:r w:rsidR="00A85FE6" w:rsidRPr="000412A1">
        <w:rPr>
          <w:sz w:val="22"/>
          <w:szCs w:val="22"/>
        </w:rPr>
        <w:t>.</w:t>
      </w:r>
      <w:r w:rsidR="00A85FE6" w:rsidRPr="000412A1" w:rsidDel="00382DCE">
        <w:rPr>
          <w:sz w:val="22"/>
          <w:szCs w:val="22"/>
        </w:rPr>
        <w:t xml:space="preserve"> </w:t>
      </w:r>
    </w:p>
    <w:p w14:paraId="536C92A2" w14:textId="77777777" w:rsidR="00930441" w:rsidRPr="000412A1" w:rsidRDefault="00930441" w:rsidP="00930441">
      <w:pPr>
        <w:tabs>
          <w:tab w:val="left" w:pos="426"/>
        </w:tabs>
        <w:spacing w:line="480" w:lineRule="auto"/>
        <w:rPr>
          <w:sz w:val="22"/>
          <w:szCs w:val="22"/>
        </w:rPr>
      </w:pPr>
    </w:p>
    <w:p w14:paraId="07424572" w14:textId="1C827A38" w:rsidR="00930441" w:rsidRPr="000412A1" w:rsidRDefault="00930441" w:rsidP="00930441">
      <w:pPr>
        <w:tabs>
          <w:tab w:val="left" w:pos="426"/>
        </w:tabs>
        <w:spacing w:line="480" w:lineRule="auto"/>
        <w:rPr>
          <w:sz w:val="22"/>
          <w:szCs w:val="22"/>
        </w:rPr>
      </w:pPr>
      <w:r w:rsidRPr="000412A1">
        <w:rPr>
          <w:sz w:val="22"/>
          <w:szCs w:val="22"/>
        </w:rPr>
        <w:t>Electrochemical oxidation or electr</w:t>
      </w:r>
      <w:r w:rsidR="001E7DCA" w:rsidRPr="000412A1">
        <w:rPr>
          <w:sz w:val="22"/>
          <w:szCs w:val="22"/>
        </w:rPr>
        <w:t>o-o</w:t>
      </w:r>
      <w:r w:rsidRPr="000412A1">
        <w:rPr>
          <w:sz w:val="22"/>
          <w:szCs w:val="22"/>
        </w:rPr>
        <w:t xml:space="preserve">xidation is an attractive technology </w:t>
      </w:r>
      <w:r w:rsidR="00E552E0" w:rsidRPr="000412A1">
        <w:rPr>
          <w:sz w:val="22"/>
          <w:szCs w:val="22"/>
        </w:rPr>
        <w:t xml:space="preserve">for its </w:t>
      </w:r>
      <w:r w:rsidR="00AC19D8" w:rsidRPr="000412A1">
        <w:rPr>
          <w:sz w:val="22"/>
          <w:szCs w:val="22"/>
        </w:rPr>
        <w:t xml:space="preserve">ability </w:t>
      </w:r>
      <w:r w:rsidR="00E552E0" w:rsidRPr="000412A1">
        <w:rPr>
          <w:sz w:val="22"/>
          <w:szCs w:val="22"/>
        </w:rPr>
        <w:t xml:space="preserve">to </w:t>
      </w:r>
      <w:r w:rsidRPr="000412A1">
        <w:rPr>
          <w:sz w:val="22"/>
          <w:szCs w:val="22"/>
        </w:rPr>
        <w:t xml:space="preserve">treat </w:t>
      </w:r>
      <w:r w:rsidR="000412A1" w:rsidRPr="000412A1">
        <w:rPr>
          <w:sz w:val="22"/>
          <w:szCs w:val="22"/>
        </w:rPr>
        <w:t xml:space="preserve">complex organic pollutants </w:t>
      </w:r>
      <w:r w:rsidRPr="000412A1">
        <w:rPr>
          <w:sz w:val="22"/>
          <w:szCs w:val="22"/>
        </w:rPr>
        <w:t>under</w:t>
      </w:r>
      <w:r w:rsidR="00E552E0" w:rsidRPr="000412A1">
        <w:rPr>
          <w:sz w:val="22"/>
          <w:szCs w:val="22"/>
        </w:rPr>
        <w:t xml:space="preserve"> </w:t>
      </w:r>
      <w:r w:rsidRPr="000412A1">
        <w:rPr>
          <w:sz w:val="22"/>
          <w:szCs w:val="22"/>
        </w:rPr>
        <w:t>ambient temperature</w:t>
      </w:r>
      <w:r w:rsidR="000412A1" w:rsidRPr="000412A1">
        <w:rPr>
          <w:sz w:val="22"/>
          <w:szCs w:val="22"/>
        </w:rPr>
        <w:t>s</w:t>
      </w:r>
      <w:r w:rsidRPr="000412A1">
        <w:rPr>
          <w:sz w:val="22"/>
          <w:szCs w:val="22"/>
        </w:rPr>
        <w:t xml:space="preserve"> and pressure </w:t>
      </w:r>
      <w:r w:rsidR="00AC19D8" w:rsidRPr="000412A1">
        <w:rPr>
          <w:sz w:val="22"/>
          <w:szCs w:val="22"/>
        </w:rPr>
        <w:t xml:space="preserve">conditions </w:t>
      </w:r>
      <w:r w:rsidRPr="000412A1">
        <w:rPr>
          <w:sz w:val="22"/>
          <w:szCs w:val="22"/>
        </w:rPr>
        <w:fldChar w:fldCharType="begin" w:fldLock="1"/>
      </w:r>
      <w:r w:rsidR="00F14E74" w:rsidRPr="000412A1">
        <w:rPr>
          <w:sz w:val="22"/>
          <w:szCs w:val="22"/>
        </w:rPr>
        <w:instrText>ADDIN CSL_CITATION { "citationItems" : [ { "id" : "ITEM-1", "itemData" : { "DOI" : "10.1007/s13762-017-1487-8", "ISSN" : "17352630", "abstract" : "The removal of colour and organic compounds from vinasses derived from the wine distillery industry was studied using boron-doped diamond-based electrodes and dimensionally stable anodes. The maximum reduction of organic compounds and colour was attained with the use of boron-doped diamond-based electrode after 10 h of operation at a current density of 6.6 mA cm\u22122. The current efficiency obtained was about 90% with a specific energy consumption (measured in terms of removal of chemical oxygen demand) of 17 kWh kg\u22121 COD removed. The dimensionally stable anodes were capable of removing 6\u201347% of the organic material and reached 60% decolourisation but with a lower current efficiency (between 85 and 10%) and much higher specific energy consumption values. The anaerobic digestion of vinasse after 1 h of treatment using boron-doped diamond-based electrode showed an effective mineralisation of the organic matter contained in the sample leading to an increase in methane production during anaerobic digestion. \u00a9 2017, Islamic Azad University (IAU).", "author" : [ { "dropping-particle" : "", "family" : "Martinez", "given" : "E. J.", "non-dropping-particle" : "", "parse-names" : false, "suffix" : "" }, { "dropping-particle" : "", "family" : "Rosas", "given" : "J. G.", "non-dropping-particle" : "", "parse-names" : false, "suffix" : "" }, { "dropping-particle" : "", "family" : "Gonzalez", "given" : "R.", "non-dropping-particle" : "", "parse-names" : false, "suffix" : "" }, { "dropping-particle" : "", "family" : "Garcia", "given" : "D.", "non-dropping-particle" : "", "parse-names" : false, "suffix" : "" }, { "dropping-particle" : "", "family" : "Gomez", "given" : "X.", "non-dropping-particle" : "", "parse-names" : false, "suffix" : "" } ], "container-title" : "International Journal of Environmental Science and Technology", "id" : "ITEM-1", "issue" : "6", "issued" : { "date-parts" : [ [ "2018" ] ] }, "page" : "1159-1168", "publisher" : "Springer Berlin Heidelberg", "title" : "Treatment of vinasse by electrochemical oxidation: evaluating the performance of boron-doped diamond (BDD)-based and dimensionally stable anodes (DSAs)", "type" : "article-journal", "volume" : "15" }, "uris" : [ "http://www.mendeley.com/documents/?uuid=3dafef80-172b-4aa8-a834-28624e7d8ec3", "http://www.mendeley.com/documents/?uuid=5b511e3d-49e7-4ac9-b978-9d7e46873916" ] }, { "id" : "ITEM-2", "itemData" : { "DOI" : "10.1080/01496395.2017.1385626", "ISSN" : "15205754", "abstract" : "The feasibility of combining an electrochemical treatment on a carbon felt electrode and a biological treatment for the degradation of tetracycline (TC) and tylosin (Tylo) is presented. Central composite design (CCD) was employed to optimize the effects of the operating parameters on the electrochemical treatment efficiency. The variables investigated were the electrolysis time, the applied current intensity and the initial TC and Tylo concentrations. The second-order model obtained by CCD led to the following optimal conditions for the abatement of the chemical oxygen demand (COD): 241.66\u00a0mA \u2264 I\u00a0\u2264\u00a0250\u00a0mA, [TC]0\u00a0=\u00a050\u00a0mg L\u22121 and 120.0\u00a0min \u2264 telecrolysis \u2264 132.9\u00a0min for TC and 50\u00a0mA \u2264 I\u00a0\u2264\u00a080\u00a0mA, 10\u00a0mg L\u22121\u2264 [Tylo]0\u00a0\u2264\u00a013\u00a0mg L\u22121 and telecrolysis\u00a0=\u00a0240\u00a0min for Tylo. Under these conditions, the obtained yields of COD abatement were \u2245 80% and \u2245 69% for TC and Tylo, respectively. To assess the effectiveness of electrolysis as a pretreatment before a biological process, biodegradability tests were conducted on a solution electrolyzed at 250\u00a0mA, 50\u00a0mg L\u22121 initial TC or Tylo and during 240.0 and 180.35\u00a0min for TC and Tylo, and showed an improvement of the BOD5/COD ratio, from 0.033 to 0.46 and from 0.04 to 0.33 for TC and Tylo, respectively. From this, the electrochemical pretreatment of TC and Tylo generated intermediate products, which are at least partially biodegradable. The combination of an electrochemical pretreatment in the same conditions with a biological treatment involving activated sludge confirmed these positive results, since it showed an overall dissolved organic carbon (DOC) removal close to 92% and 89% for TC and Tylo, respectively.", "author" : [ { "dropping-particle" : "", "family" : "Yahiaoui", "given" : "Idris", "non-dropping-particle" : "", "parse-names" : false, "suffix" : "" }, { "dropping-particle" : "", "family" : "Yahia Cherif", "given" : "Lamia", "non-dropping-particle" : "", "parse-names" : false, "suffix" : "" }, { "dropping-particle" : "", "family" : "Madi", "given" : "Katia", "non-dropping-particle" : "", "parse-names" : false, "suffix" : "" }, { "dropping-particle" : "", "family" : "Aissani-Benissad", "given" : "Farida", "non-dropping-particle" : "", "parse-names" : false, "suffix" : "" }, { "dropping-particle" : "", "family" : "Fourcade", "given" : "Florence", "non-dropping-particle" : "", "parse-names" : false, "suffix" : "" }, { "dropping-particle" : "", "family" : "Amrane", "given" : "Abdeltif", "non-dropping-particle" : "", "parse-names" : false, "suffix" : "" } ], "container-title" : "Separation Science and Technology (Philadelphia)", "id" : "ITEM-2", "issue" : "2", "issued" : { "date-parts" : [ [ "2018" ] ] }, "page" : "337-348", "title" : "The feasibility of combining an electrochemical treatment on a carbon felt electrode and a biological treatment for the degradation of tetracycline and tylosin\u2013application of the experimental design methodology", "type" : "article-journal", "volume" : "53" }, "uris" : [ "http://www.mendeley.com/documents/?uuid=865cc742-d716-4177-955d-2d7a2c65fe32" ] }, { "id" : "ITEM-3", "itemData" : { "DOI" : "10.1080/09593330.2015.1013571", "ISSN" : "1479487X", "abstract" : "The purpose of this study was first to examine the electrochemical oxidation of two antibiotics, tetracycline (TC) and tylosin (Tylo), considered separately or in mixture, on a glassy carbon electrode in aqueous solutions; and then to assess the relevance of such electrochemical process as a pre-treatment prior to a biological treatment (activated sludge) for the removal of these antibiotics. The influence of the working potential and the initial concentration of TC and Tylo on the electrochemical pre-treatment process was also investigated. It was noticed that antibiotics degradation was favoured at high potential (2.4V/ saturated calomel electrode (SCE)), achieving total degradation after 50min for TC and 40min for Tylo for 50mgL&lt;sup&gt;-1&lt;/sup&gt; initial concentration, with a higher mineralization efficiency in the case of TC. The biological oxygen demand in 5 days (BOD&lt;inf&gt;5&lt;/inf&gt;)/Chemical oxygen demand (COD) ratio increased substantially, from 0.033 to 0.39 and from 0.038 to 0.50 for TC and Tylo, respectively. Regarding the mixture (TC and Tylo), the mineralization yield increased from 10.6% to 30.0% within 60min of reaction time when the potential increased from 1.5 to 2.4V/SCE and the BOD&lt;inf&gt;5&lt;/inf&gt;/COD ratio increased substantially from 0.010 initially to 0.29 after 6h of electrochemical pre-treatment. A biological treatment was, therefore, performed aerobically during 30 days, leading to an overall decrease of 72% of the dissolved organic carbon by means of the combined process.", "author" : [ { "dropping-particle" : "", "family" : "Yahiaoui", "given" : "Idris", "non-dropping-particle" : "", "parse-names" : false, "suffix" : "" }, { "dropping-particle" : "", "family" : "Aissani-Benissad", "given" : "Farida", "non-dropping-particle" : "", "parse-names" : false, "suffix" : "" }, { "dropping-particle" : "", "family" : "Fourcade", "given" : "Florence", "non-dropping-particle" : "", "parse-names" : false, "suffix" : "" }, { "dropping-particle" : "", "family" : "Amrane", "given" : "Abdeltif", "non-dropping-particle" : "", "parse-names" : false, "suffix" : "" } ], "container-title" : "Environmental Technology (United Kingdom)", "id" : "ITEM-3", "issue" : "14", "issued" : { "date-parts" : [ [ "2015" ] ] }, "page" : "1837-1846", "title" : "Removal of a mixture tetracycline-tylosin from water based on anodic oxidation on a glassy carbon electrode coupled to activated sludge", "type" : "article-journal", "volume" : "36" }, "uris" : [ "http://www.mendeley.com/documents/?uuid=4cd9a3cb-6bac-45d5-be01-bbbf330d7e24" ] } ], "mendeley" : { "formattedCitation" : "(Martinez et al., 2018; Yahiaoui et al., 2018, 2015)", "plainTextFormattedCitation" : "(Martinez et al., 2018; Yahiaoui et al., 2018, 2015)", "previouslyFormattedCitation" : "(Martinez et al., 2018; Yahiaoui et al., 2018, 2015)" }, "properties" : {  }, "schema" : "https://github.com/citation-style-language/schema/raw/master/csl-citation.json" }</w:instrText>
      </w:r>
      <w:r w:rsidRPr="000412A1">
        <w:rPr>
          <w:sz w:val="22"/>
          <w:szCs w:val="22"/>
        </w:rPr>
        <w:fldChar w:fldCharType="separate"/>
      </w:r>
      <w:r w:rsidR="00F14E74" w:rsidRPr="000412A1">
        <w:rPr>
          <w:noProof/>
          <w:sz w:val="22"/>
          <w:szCs w:val="22"/>
        </w:rPr>
        <w:t>(Martinez et al., 2018; Yahiaoui et al., 2018, 2015)</w:t>
      </w:r>
      <w:r w:rsidRPr="000412A1">
        <w:rPr>
          <w:sz w:val="22"/>
          <w:szCs w:val="22"/>
        </w:rPr>
        <w:fldChar w:fldCharType="end"/>
      </w:r>
      <w:r w:rsidRPr="000412A1">
        <w:rPr>
          <w:sz w:val="22"/>
          <w:szCs w:val="22"/>
        </w:rPr>
        <w:t xml:space="preserve">. </w:t>
      </w:r>
      <w:r w:rsidR="00265EB1" w:rsidRPr="000412A1">
        <w:rPr>
          <w:sz w:val="22"/>
          <w:szCs w:val="22"/>
        </w:rPr>
        <w:t>Electr</w:t>
      </w:r>
      <w:r w:rsidR="001E7DCA" w:rsidRPr="000412A1">
        <w:rPr>
          <w:sz w:val="22"/>
          <w:szCs w:val="22"/>
        </w:rPr>
        <w:t>o-o</w:t>
      </w:r>
      <w:r w:rsidR="00265EB1" w:rsidRPr="000412A1">
        <w:rPr>
          <w:sz w:val="22"/>
          <w:szCs w:val="22"/>
        </w:rPr>
        <w:t>xidation includes photo</w:t>
      </w:r>
      <w:r w:rsidR="00C02204" w:rsidRPr="000412A1">
        <w:rPr>
          <w:sz w:val="22"/>
          <w:szCs w:val="22"/>
        </w:rPr>
        <w:t>-</w:t>
      </w:r>
      <w:r w:rsidR="00265EB1" w:rsidRPr="000412A1">
        <w:rPr>
          <w:sz w:val="22"/>
          <w:szCs w:val="22"/>
        </w:rPr>
        <w:t>electro-Fenton, electro-Fenton</w:t>
      </w:r>
      <w:r w:rsidR="00C02204" w:rsidRPr="000412A1">
        <w:rPr>
          <w:sz w:val="22"/>
          <w:szCs w:val="22"/>
        </w:rPr>
        <w:t>,</w:t>
      </w:r>
      <w:r w:rsidR="00265EB1" w:rsidRPr="000412A1">
        <w:rPr>
          <w:sz w:val="22"/>
          <w:szCs w:val="22"/>
        </w:rPr>
        <w:t xml:space="preserve"> and anodic oxidation. The latter is considered as an advanced oxidation process with the added advantage of generating </w:t>
      </w:r>
      <w:r w:rsidR="00265EB1" w:rsidRPr="009A0A82">
        <w:rPr>
          <w:iCs/>
          <w:sz w:val="22"/>
          <w:szCs w:val="22"/>
        </w:rPr>
        <w:t>in situ</w:t>
      </w:r>
      <w:r w:rsidR="00265EB1" w:rsidRPr="009B760B">
        <w:rPr>
          <w:iCs/>
          <w:sz w:val="22"/>
          <w:szCs w:val="22"/>
        </w:rPr>
        <w:t xml:space="preserve"> h</w:t>
      </w:r>
      <w:r w:rsidR="00265EB1" w:rsidRPr="000412A1">
        <w:rPr>
          <w:sz w:val="22"/>
          <w:szCs w:val="22"/>
        </w:rPr>
        <w:t xml:space="preserve">ydroxyl radicals </w:t>
      </w:r>
      <w:r w:rsidRPr="000412A1">
        <w:rPr>
          <w:sz w:val="22"/>
          <w:szCs w:val="22"/>
        </w:rPr>
        <w:t>(</w:t>
      </w:r>
      <w:r w:rsidR="00CD11B0" w:rsidRPr="000412A1">
        <w:rPr>
          <w:b/>
          <w:sz w:val="22"/>
          <w:szCs w:val="22"/>
        </w:rPr>
        <w:t>•</w:t>
      </w:r>
      <w:r w:rsidRPr="000412A1">
        <w:rPr>
          <w:sz w:val="22"/>
          <w:szCs w:val="22"/>
        </w:rPr>
        <w:t>OH</w:t>
      </w:r>
      <w:r w:rsidR="00C02204" w:rsidRPr="000412A1">
        <w:rPr>
          <w:sz w:val="22"/>
          <w:szCs w:val="22"/>
        </w:rPr>
        <w:t xml:space="preserve">; </w:t>
      </w:r>
      <w:r w:rsidR="00C63C68" w:rsidRPr="000412A1">
        <w:rPr>
          <w:sz w:val="22"/>
          <w:szCs w:val="22"/>
        </w:rPr>
        <w:fldChar w:fldCharType="begin" w:fldLock="1"/>
      </w:r>
      <w:r w:rsidR="00A07857" w:rsidRPr="000412A1">
        <w:rPr>
          <w:sz w:val="22"/>
          <w:szCs w:val="22"/>
        </w:rPr>
        <w:instrText>ADDIN CSL_CITATION { "citationItems" : [ { "id" : "ITEM-1", "itemData" : { "DOI" : "10.1016/j.jenvman.2017.07.046", "ISSN" : "10958630", "abstract" : "In this work, electrochemical oxidation of aerobically pre-treated dairy wastewaters using IrO2-Pt coated dimensionally stable anodes was investigated. It was found that IrO2/Ti electrode outperforming Pt/Ti and IrO2-Pt/Ti at lower current densities, while Pt/Ti achieved better efficiency at higher current density. Among the different parameters which were studied, the current density was the most crucial for the efficiency of the process. A current density of 100 mA/cm2led to almost complete removal of 3700 mg/L COD after 360 min of treatment using IrO2/Ti electrode and 0.2 M of sodium chloride while complete decolorization was achieved in less than 60 min. Electrolytes also found to significantly affect the process. More specific, the use of sodium chloride instead of sodium sulfate enhanced both COD and color removal due to the formation of active chlorine species. The effect of temperature was relative low; the process was favourable at elevated temperatures while increasing COD loading resulted in a decrease of COD and color removal.", "author" : [ { "dropping-particle" : "", "family" : "Markou", "given" : "Vlasia", "non-dropping-particle" : "", "parse-names" : false, "suffix" : "" }, { "dropping-particle" : "", "family" : "Kontogianni", "given" : "Maria Christina", "non-dropping-particle" : "", "parse-names" : false, "suffix" : "" }, { "dropping-particle" : "", "family" : "Frontistis", "given" : "Zacharias", "non-dropping-particle" : "", "parse-names" : false, "suffix" : "" }, { "dropping-particle" : "", "family" : "Tekerlekopoulou", "given" : "Athanasia G.", "non-dropping-particle" : "", "parse-names" : false, "suffix" : "" }, { "dropping-particle" : "", "family" : "Katsaounis", "given" : "Alexandros", "non-dropping-particle" : "", "parse-names" : false, "suffix" : "" }, { "dropping-particle" : "", "family" : "Vayenas", "given" : "Dimitris", "non-dropping-particle" : "", "parse-names" : false, "suffix" : "" } ], "container-title" : "Journal of Environmental Management", "id" : "ITEM-1", "issued" : { "date-parts" : [ [ "2017" ] ] }, "page" : "217-224", "title" : "Electrochemical treatment of biologically pre-treated dairy wastewater using dimensionally stable anodes", "type" : "article-journal", "volume" : "202" }, "uris" : [ "http://www.mendeley.com/documents/?uuid=df438fd7-e9f5-408c-944c-34fe21104251", "http://www.mendeley.com/documents/?uuid=d2034e95-5c4a-494e-b3d6-2c3cbc6df709", "http://www.mendeley.com/documents/?uuid=d128f242-5802-4def-af63-b6bfa215ea49" ] } ], "mendeley" : { "formattedCitation" : "(Markou et al., 2017)", "plainTextFormattedCitation" : "(Markou et al., 2017)", "previouslyFormattedCitation" : "(Markou et al., 2017)" }, "properties" : {  }, "schema" : "https://github.com/citation-style-language/schema/raw/master/csl-citation.json" }</w:instrText>
      </w:r>
      <w:r w:rsidR="00C63C68" w:rsidRPr="000412A1">
        <w:rPr>
          <w:sz w:val="22"/>
          <w:szCs w:val="22"/>
        </w:rPr>
        <w:fldChar w:fldCharType="separate"/>
      </w:r>
      <w:r w:rsidR="00C63C68" w:rsidRPr="000412A1">
        <w:rPr>
          <w:noProof/>
          <w:sz w:val="22"/>
          <w:szCs w:val="22"/>
        </w:rPr>
        <w:t>Markou et al., 2017)</w:t>
      </w:r>
      <w:r w:rsidR="00C63C68" w:rsidRPr="000412A1">
        <w:rPr>
          <w:sz w:val="22"/>
          <w:szCs w:val="22"/>
        </w:rPr>
        <w:fldChar w:fldCharType="end"/>
      </w:r>
      <w:r w:rsidRPr="000412A1">
        <w:rPr>
          <w:sz w:val="22"/>
          <w:szCs w:val="22"/>
        </w:rPr>
        <w:t>. A</w:t>
      </w:r>
      <w:r w:rsidR="001F70CA" w:rsidRPr="000412A1">
        <w:rPr>
          <w:sz w:val="22"/>
          <w:szCs w:val="22"/>
        </w:rPr>
        <w:t xml:space="preserve">dvanced </w:t>
      </w:r>
      <w:r w:rsidR="004964CD" w:rsidRPr="000412A1">
        <w:rPr>
          <w:sz w:val="22"/>
          <w:szCs w:val="22"/>
        </w:rPr>
        <w:t>oxidation</w:t>
      </w:r>
      <w:r w:rsidR="00FA3A0A" w:rsidRPr="000412A1">
        <w:rPr>
          <w:sz w:val="22"/>
          <w:szCs w:val="22"/>
        </w:rPr>
        <w:t xml:space="preserve"> processes </w:t>
      </w:r>
      <w:r w:rsidR="000412A1" w:rsidRPr="000412A1">
        <w:rPr>
          <w:sz w:val="22"/>
          <w:szCs w:val="22"/>
        </w:rPr>
        <w:t xml:space="preserve">can </w:t>
      </w:r>
      <w:r w:rsidRPr="000412A1">
        <w:rPr>
          <w:sz w:val="22"/>
          <w:szCs w:val="22"/>
        </w:rPr>
        <w:t xml:space="preserve">interact with pollutants by direct electron transfer to the anode surface (M) or </w:t>
      </w:r>
      <w:r w:rsidR="001F70CA" w:rsidRPr="000412A1">
        <w:rPr>
          <w:sz w:val="22"/>
          <w:szCs w:val="22"/>
        </w:rPr>
        <w:t xml:space="preserve">through </w:t>
      </w:r>
      <w:r w:rsidRPr="000412A1">
        <w:rPr>
          <w:sz w:val="22"/>
          <w:szCs w:val="22"/>
        </w:rPr>
        <w:t xml:space="preserve">heterogeneous reactive oxygen species </w:t>
      </w:r>
      <w:r w:rsidR="000412A1" w:rsidRPr="000412A1">
        <w:rPr>
          <w:sz w:val="22"/>
          <w:szCs w:val="22"/>
        </w:rPr>
        <w:t xml:space="preserve">that </w:t>
      </w:r>
      <w:r w:rsidR="00FA3A0A" w:rsidRPr="000412A1">
        <w:rPr>
          <w:sz w:val="22"/>
          <w:szCs w:val="22"/>
        </w:rPr>
        <w:t xml:space="preserve">are </w:t>
      </w:r>
      <w:r w:rsidRPr="000412A1">
        <w:rPr>
          <w:sz w:val="22"/>
          <w:szCs w:val="22"/>
        </w:rPr>
        <w:t xml:space="preserve">produced as </w:t>
      </w:r>
      <w:r w:rsidR="00FA3A0A" w:rsidRPr="000412A1">
        <w:rPr>
          <w:sz w:val="22"/>
          <w:szCs w:val="22"/>
        </w:rPr>
        <w:t xml:space="preserve">intermediaries </w:t>
      </w:r>
      <w:r w:rsidR="001F70CA" w:rsidRPr="000412A1">
        <w:rPr>
          <w:sz w:val="22"/>
          <w:szCs w:val="22"/>
        </w:rPr>
        <w:t xml:space="preserve">from the </w:t>
      </w:r>
      <w:r w:rsidRPr="000412A1">
        <w:rPr>
          <w:sz w:val="22"/>
          <w:szCs w:val="22"/>
        </w:rPr>
        <w:t xml:space="preserve">oxidation of water to oxygen, including </w:t>
      </w:r>
      <w:r w:rsidR="00E552E0" w:rsidRPr="000412A1">
        <w:rPr>
          <w:sz w:val="22"/>
          <w:szCs w:val="22"/>
        </w:rPr>
        <w:t>potent</w:t>
      </w:r>
      <w:r w:rsidRPr="000412A1">
        <w:rPr>
          <w:sz w:val="22"/>
          <w:szCs w:val="22"/>
        </w:rPr>
        <w:t xml:space="preserve"> </w:t>
      </w:r>
      <w:proofErr w:type="spellStart"/>
      <w:r w:rsidR="00EE6643" w:rsidRPr="000412A1">
        <w:rPr>
          <w:sz w:val="22"/>
          <w:szCs w:val="22"/>
        </w:rPr>
        <w:t>physisorbed</w:t>
      </w:r>
      <w:proofErr w:type="spellEnd"/>
      <w:r w:rsidRPr="000412A1">
        <w:rPr>
          <w:sz w:val="22"/>
          <w:szCs w:val="22"/>
        </w:rPr>
        <w:t xml:space="preserve"> </w:t>
      </w:r>
      <w:r w:rsidR="00915FD1" w:rsidRPr="000412A1">
        <w:rPr>
          <w:sz w:val="22"/>
          <w:szCs w:val="22"/>
        </w:rPr>
        <w:t>hydroxyl radical</w:t>
      </w:r>
      <w:r w:rsidR="00E552E0" w:rsidRPr="000412A1">
        <w:rPr>
          <w:sz w:val="22"/>
          <w:szCs w:val="22"/>
        </w:rPr>
        <w:t>s</w:t>
      </w:r>
      <w:r w:rsidR="001F70CA" w:rsidRPr="000412A1">
        <w:rPr>
          <w:sz w:val="22"/>
          <w:szCs w:val="22"/>
        </w:rPr>
        <w:t xml:space="preserve"> </w:t>
      </w:r>
      <w:r w:rsidR="00915FD1" w:rsidRPr="000412A1">
        <w:rPr>
          <w:b/>
          <w:sz w:val="22"/>
          <w:szCs w:val="22"/>
        </w:rPr>
        <w:t>(</w:t>
      </w:r>
      <w:r w:rsidR="00CD11B0" w:rsidRPr="000412A1">
        <w:rPr>
          <w:b/>
          <w:sz w:val="22"/>
          <w:szCs w:val="22"/>
        </w:rPr>
        <w:t>•</w:t>
      </w:r>
      <w:r w:rsidRPr="000412A1">
        <w:rPr>
          <w:sz w:val="22"/>
          <w:szCs w:val="22"/>
        </w:rPr>
        <w:t>OH</w:t>
      </w:r>
      <w:r w:rsidR="00915FD1" w:rsidRPr="000412A1">
        <w:rPr>
          <w:sz w:val="22"/>
          <w:szCs w:val="22"/>
        </w:rPr>
        <w:t>)</w:t>
      </w:r>
      <w:r w:rsidRPr="000412A1">
        <w:rPr>
          <w:sz w:val="22"/>
          <w:szCs w:val="22"/>
        </w:rPr>
        <w:t xml:space="preserve"> </w:t>
      </w:r>
      <w:r w:rsidR="00E552E0" w:rsidRPr="000412A1">
        <w:rPr>
          <w:sz w:val="22"/>
          <w:szCs w:val="22"/>
        </w:rPr>
        <w:t xml:space="preserve">on </w:t>
      </w:r>
      <w:r w:rsidRPr="000412A1">
        <w:rPr>
          <w:sz w:val="22"/>
          <w:szCs w:val="22"/>
        </w:rPr>
        <w:t xml:space="preserve">the </w:t>
      </w:r>
      <w:r w:rsidRPr="000412A1">
        <w:rPr>
          <w:sz w:val="22"/>
          <w:szCs w:val="22"/>
        </w:rPr>
        <w:lastRenderedPageBreak/>
        <w:t>anode surface</w:t>
      </w:r>
      <w:r w:rsidR="00551DF9" w:rsidRPr="000412A1">
        <w:rPr>
          <w:sz w:val="22"/>
          <w:szCs w:val="22"/>
        </w:rPr>
        <w:t xml:space="preserve">. This radical is </w:t>
      </w:r>
      <w:r w:rsidRPr="000412A1">
        <w:rPr>
          <w:sz w:val="22"/>
          <w:szCs w:val="22"/>
        </w:rPr>
        <w:t xml:space="preserve">denoted </w:t>
      </w:r>
      <w:r w:rsidR="00FA3A0A" w:rsidRPr="000412A1">
        <w:rPr>
          <w:sz w:val="22"/>
          <w:szCs w:val="22"/>
        </w:rPr>
        <w:t xml:space="preserve">as </w:t>
      </w:r>
      <w:r w:rsidRPr="000412A1">
        <w:rPr>
          <w:sz w:val="22"/>
          <w:szCs w:val="22"/>
        </w:rPr>
        <w:t>M(</w:t>
      </w:r>
      <w:r w:rsidR="00CD11B0" w:rsidRPr="000412A1">
        <w:rPr>
          <w:b/>
          <w:sz w:val="22"/>
          <w:szCs w:val="22"/>
        </w:rPr>
        <w:t>•</w:t>
      </w:r>
      <w:r w:rsidRPr="000412A1">
        <w:rPr>
          <w:sz w:val="22"/>
          <w:szCs w:val="22"/>
        </w:rPr>
        <w:t>OH</w:t>
      </w:r>
      <w:r w:rsidR="00551DF9" w:rsidRPr="000412A1">
        <w:rPr>
          <w:sz w:val="22"/>
          <w:szCs w:val="22"/>
        </w:rPr>
        <w:t xml:space="preserve">) and </w:t>
      </w:r>
      <w:r w:rsidR="000412A1" w:rsidRPr="000412A1">
        <w:rPr>
          <w:sz w:val="22"/>
          <w:szCs w:val="22"/>
        </w:rPr>
        <w:t xml:space="preserve">was </w:t>
      </w:r>
      <w:r w:rsidRPr="000412A1">
        <w:rPr>
          <w:sz w:val="22"/>
          <w:szCs w:val="22"/>
        </w:rPr>
        <w:t xml:space="preserve">generated </w:t>
      </w:r>
      <w:r w:rsidRPr="009A0A82">
        <w:rPr>
          <w:iCs/>
          <w:sz w:val="22"/>
          <w:szCs w:val="22"/>
        </w:rPr>
        <w:t>via</w:t>
      </w:r>
      <w:r w:rsidRPr="000412A1">
        <w:rPr>
          <w:sz w:val="22"/>
          <w:szCs w:val="22"/>
        </w:rPr>
        <w:t xml:space="preserve"> Eq</w:t>
      </w:r>
      <w:r w:rsidR="000412A1" w:rsidRPr="000412A1">
        <w:rPr>
          <w:sz w:val="22"/>
          <w:szCs w:val="22"/>
        </w:rPr>
        <w:t>uation</w:t>
      </w:r>
      <w:r w:rsidR="00F3718A" w:rsidRPr="000412A1">
        <w:rPr>
          <w:sz w:val="22"/>
          <w:szCs w:val="22"/>
        </w:rPr>
        <w:t xml:space="preserve"> </w:t>
      </w:r>
      <w:r w:rsidRPr="000412A1">
        <w:rPr>
          <w:sz w:val="22"/>
          <w:szCs w:val="22"/>
        </w:rPr>
        <w:t>(1)</w:t>
      </w:r>
      <w:r w:rsidR="00551DF9" w:rsidRPr="000412A1">
        <w:rPr>
          <w:sz w:val="22"/>
          <w:szCs w:val="22"/>
        </w:rPr>
        <w:t>. Other</w:t>
      </w:r>
      <w:r w:rsidR="000412A1" w:rsidRPr="000412A1">
        <w:rPr>
          <w:sz w:val="22"/>
          <w:szCs w:val="22"/>
        </w:rPr>
        <w:t>,</w:t>
      </w:r>
      <w:r w:rsidR="00551DF9" w:rsidRPr="000412A1">
        <w:rPr>
          <w:sz w:val="22"/>
          <w:szCs w:val="22"/>
        </w:rPr>
        <w:t xml:space="preserve"> </w:t>
      </w:r>
      <w:r w:rsidR="00A27A28" w:rsidRPr="000412A1">
        <w:rPr>
          <w:sz w:val="22"/>
          <w:szCs w:val="22"/>
        </w:rPr>
        <w:t xml:space="preserve">less drastic </w:t>
      </w:r>
      <w:r w:rsidRPr="000412A1">
        <w:rPr>
          <w:sz w:val="22"/>
          <w:szCs w:val="22"/>
        </w:rPr>
        <w:t xml:space="preserve">oxidants </w:t>
      </w:r>
      <w:r w:rsidR="00A27A28" w:rsidRPr="000412A1">
        <w:rPr>
          <w:sz w:val="22"/>
          <w:szCs w:val="22"/>
        </w:rPr>
        <w:t>such as</w:t>
      </w:r>
      <w:r w:rsidRPr="000412A1">
        <w:rPr>
          <w:sz w:val="22"/>
          <w:szCs w:val="22"/>
        </w:rPr>
        <w:t xml:space="preserve"> H</w:t>
      </w:r>
      <w:r w:rsidRPr="000412A1">
        <w:rPr>
          <w:sz w:val="22"/>
          <w:szCs w:val="22"/>
          <w:vertAlign w:val="subscript"/>
        </w:rPr>
        <w:t>2</w:t>
      </w:r>
      <w:r w:rsidRPr="000412A1">
        <w:rPr>
          <w:sz w:val="22"/>
          <w:szCs w:val="22"/>
        </w:rPr>
        <w:t>O</w:t>
      </w:r>
      <w:r w:rsidRPr="000412A1">
        <w:rPr>
          <w:sz w:val="22"/>
          <w:szCs w:val="22"/>
          <w:vertAlign w:val="subscript"/>
        </w:rPr>
        <w:t>2</w:t>
      </w:r>
      <w:r w:rsidRPr="000412A1">
        <w:rPr>
          <w:sz w:val="22"/>
          <w:szCs w:val="22"/>
        </w:rPr>
        <w:t xml:space="preserve"> </w:t>
      </w:r>
      <w:r w:rsidR="000412A1" w:rsidRPr="000412A1">
        <w:rPr>
          <w:sz w:val="22"/>
          <w:szCs w:val="22"/>
        </w:rPr>
        <w:t xml:space="preserve">are </w:t>
      </w:r>
      <w:r w:rsidR="00551DF9" w:rsidRPr="000412A1">
        <w:rPr>
          <w:sz w:val="22"/>
          <w:szCs w:val="22"/>
        </w:rPr>
        <w:t>derive</w:t>
      </w:r>
      <w:r w:rsidR="000412A1" w:rsidRPr="000412A1">
        <w:rPr>
          <w:sz w:val="22"/>
          <w:szCs w:val="22"/>
        </w:rPr>
        <w:t>d</w:t>
      </w:r>
      <w:r w:rsidR="00551DF9" w:rsidRPr="000412A1">
        <w:rPr>
          <w:sz w:val="22"/>
          <w:szCs w:val="22"/>
        </w:rPr>
        <w:t xml:space="preserve"> </w:t>
      </w:r>
      <w:r w:rsidRPr="000412A1">
        <w:rPr>
          <w:sz w:val="22"/>
          <w:szCs w:val="22"/>
        </w:rPr>
        <w:t>from M(</w:t>
      </w:r>
      <w:r w:rsidR="00CD11B0" w:rsidRPr="000412A1">
        <w:rPr>
          <w:b/>
          <w:sz w:val="22"/>
          <w:szCs w:val="22"/>
        </w:rPr>
        <w:t>•</w:t>
      </w:r>
      <w:r w:rsidRPr="000412A1">
        <w:rPr>
          <w:sz w:val="22"/>
          <w:szCs w:val="22"/>
        </w:rPr>
        <w:t xml:space="preserve">OH) </w:t>
      </w:r>
      <w:proofErr w:type="spellStart"/>
      <w:r w:rsidRPr="000412A1">
        <w:rPr>
          <w:sz w:val="22"/>
          <w:szCs w:val="22"/>
        </w:rPr>
        <w:t>dimeri</w:t>
      </w:r>
      <w:r w:rsidR="00FA3A0A" w:rsidRPr="000412A1">
        <w:rPr>
          <w:sz w:val="22"/>
          <w:szCs w:val="22"/>
        </w:rPr>
        <w:t>s</w:t>
      </w:r>
      <w:r w:rsidRPr="000412A1">
        <w:rPr>
          <w:sz w:val="22"/>
          <w:szCs w:val="22"/>
        </w:rPr>
        <w:t>ation</w:t>
      </w:r>
      <w:proofErr w:type="spellEnd"/>
      <w:r w:rsidRPr="000412A1">
        <w:rPr>
          <w:sz w:val="22"/>
          <w:szCs w:val="22"/>
        </w:rPr>
        <w:t xml:space="preserve"> by Eq</w:t>
      </w:r>
      <w:r w:rsidR="000412A1">
        <w:rPr>
          <w:sz w:val="22"/>
          <w:szCs w:val="22"/>
        </w:rPr>
        <w:t xml:space="preserve">uation </w:t>
      </w:r>
      <w:r w:rsidRPr="000412A1">
        <w:rPr>
          <w:sz w:val="22"/>
          <w:szCs w:val="22"/>
        </w:rPr>
        <w:t>(2)</w:t>
      </w:r>
      <w:r w:rsidR="001F70CA" w:rsidRPr="000412A1">
        <w:rPr>
          <w:sz w:val="22"/>
          <w:szCs w:val="22"/>
        </w:rPr>
        <w:t xml:space="preserve"> </w:t>
      </w:r>
      <w:r w:rsidRPr="000412A1">
        <w:rPr>
          <w:sz w:val="22"/>
          <w:szCs w:val="22"/>
        </w:rPr>
        <w:fldChar w:fldCharType="begin" w:fldLock="1"/>
      </w:r>
      <w:r w:rsidR="00A07857" w:rsidRPr="000412A1">
        <w:rPr>
          <w:sz w:val="22"/>
          <w:szCs w:val="22"/>
        </w:rPr>
        <w:instrText>ADDIN CSL_CITATION { "citationItems" : [ { "id" : "ITEM-1", "itemData" : { "abstract" : "Boron-doped diamond (BDD) thin film is a new electrode material that has received great attention recently because it possesses several technologically important characteristics such as an inert surface with low adsorption properties, remarkable corrosion stability, even in strong acidic media, and an extremely wide potential window in aqueous and non-aqueous electrolytes. Due to these properties, diamond electrodes are promising anodes for electrochemical treatment of wastewater containing organic pollutants. The objective of this review is to summarise and discuss the recent results available in the literature concerning the application of diamond electrodes to environmentally-oriented electrochemistry. A mechanism of the electrochemical incineration and a kinetic model for organics oxidation on BDD is also presented. Moreover, fundamentals and applications to wastewater treatment of the powerful electro-oxidation method using an undivided cell with BDD anode and the cathodic electrogeneration of hydrogen peroxide by electro-Fenton or photoelectro-Fenton processes are discussed. In these processes, organics are effectively destroyed by the large amounts of hydroxyl radical (\u2022OH) produced on the BDD surface by water oxidation and by Fenton\u2019s reaction between added Fe2+ and H2O2 electrogenerated at the cathode. The presence of Cu2+ as co-catalyst with UVA irradiation enhances the degradation of organics, making the photoelectro-Fenton with BDD anode viable for industrial application. INTRODUCTION", "author" : [ { "dropping-particle" : "", "family" : "Panizza", "given" : "Marco", "non-dropping-particle" : "", "parse-names" : false, "suffix" : "" }, { "dropping-particle" : "", "family" : "Brillas", "given" : "Enric", "non-dropping-particle" : "", "parse-names" : false, "suffix" : "" }, { "dropping-particle" : "", "family" : "Comninellis", "given" : "Christos", "non-dropping-particle" : "", "parse-names" : false, "suffix" : "" } ], "container-title" : "J. Environ. Eng. Manage.", "id" : "ITEM-1", "issue" : "3", "issued" : { "date-parts" : [ [ "2008" ] ] }, "page" : "139-153", "title" : "Application of Boron-Doped Diamond Electrodes for Wastewater Treatment", "type" : "article-journal", "volume" : "18" }, "uris" : [ "http://www.mendeley.com/documents/?uuid=504114b0-dd94-437c-9c64-d119d6c94425", "http://www.mendeley.com/documents/?uuid=ba8c7f15-7b70-47f8-9235-451f89b34403", "http://www.mendeley.com/documents/?uuid=aea7fb9f-c377-40d6-9ddc-83b95cbc299e" ] } ], "mendeley" : { "formattedCitation" : "(Panizza et al., 2008)", "plainTextFormattedCitation" : "(Panizza et al., 2008)", "previouslyFormattedCitation" : "(Panizza et al., 2008)" }, "properties" : {  }, "schema" : "https://github.com/citation-style-language/schema/raw/master/csl-citation.json" }</w:instrText>
      </w:r>
      <w:r w:rsidRPr="000412A1">
        <w:rPr>
          <w:sz w:val="22"/>
          <w:szCs w:val="22"/>
        </w:rPr>
        <w:fldChar w:fldCharType="separate"/>
      </w:r>
      <w:r w:rsidR="00FD4989" w:rsidRPr="000412A1">
        <w:rPr>
          <w:noProof/>
          <w:sz w:val="22"/>
          <w:szCs w:val="22"/>
        </w:rPr>
        <w:t>(Panizza et al., 2008)</w:t>
      </w:r>
      <w:r w:rsidRPr="000412A1">
        <w:rPr>
          <w:sz w:val="22"/>
          <w:szCs w:val="22"/>
        </w:rPr>
        <w:fldChar w:fldCharType="end"/>
      </w:r>
      <w:r w:rsidRPr="000412A1">
        <w:rPr>
          <w:sz w:val="22"/>
          <w:szCs w:val="22"/>
        </w:rPr>
        <w:t xml:space="preserve">. However, both oxidation mechanisms may coexist during </w:t>
      </w:r>
      <w:r w:rsidR="001F70CA" w:rsidRPr="000412A1">
        <w:rPr>
          <w:sz w:val="22"/>
          <w:szCs w:val="22"/>
        </w:rPr>
        <w:t>electr</w:t>
      </w:r>
      <w:r w:rsidR="001E7DCA" w:rsidRPr="000412A1">
        <w:rPr>
          <w:sz w:val="22"/>
          <w:szCs w:val="22"/>
        </w:rPr>
        <w:t>o-o</w:t>
      </w:r>
      <w:r w:rsidR="001F70CA" w:rsidRPr="000412A1">
        <w:rPr>
          <w:sz w:val="22"/>
          <w:szCs w:val="22"/>
        </w:rPr>
        <w:t xml:space="preserve">xidation </w:t>
      </w:r>
      <w:r w:rsidRPr="000412A1">
        <w:rPr>
          <w:sz w:val="22"/>
          <w:szCs w:val="22"/>
        </w:rPr>
        <w:t>process</w:t>
      </w:r>
      <w:r w:rsidR="001F70CA" w:rsidRPr="000412A1">
        <w:rPr>
          <w:sz w:val="22"/>
          <w:szCs w:val="22"/>
        </w:rPr>
        <w:t>es</w:t>
      </w:r>
      <w:r w:rsidRPr="000412A1">
        <w:rPr>
          <w:sz w:val="22"/>
          <w:szCs w:val="22"/>
        </w:rPr>
        <w:t xml:space="preserve"> </w:t>
      </w:r>
      <w:r w:rsidRPr="000412A1">
        <w:rPr>
          <w:sz w:val="22"/>
          <w:szCs w:val="22"/>
        </w:rPr>
        <w:fldChar w:fldCharType="begin" w:fldLock="1"/>
      </w:r>
      <w:r w:rsidR="00A07857" w:rsidRPr="000412A1">
        <w:rPr>
          <w:sz w:val="22"/>
          <w:szCs w:val="22"/>
        </w:rPr>
        <w:instrText>ADDIN CSL_CITATION { "citationItems" : [ { "id" : "ITEM-1", "itemData" : { "DOI" : "10.1016/j.fuel.2014.04.031", "ISBN" : "0960-8524", "ISSN" : "00162361", "PMID" : "71379600003", "abstract" : "Electrochemical pretreatment (EP) with a pair of Ti/RuO2 mesh plate electrodes was applied to solubilize waste activated sludge (WAS) with the aid of hypochlorite, and the conventional pretreatment methods of thermal pretreatment (THP), thermal-alkaline pretreatment (TAP) and alkaline pretreatment (AP) were also introduced as the comparative cases. In this study, Growth Rate of Solubilization (GRS) was developed to characterize the solubilization process of WAS in terms of SCOD (soluble chemical oxygen demand), carbohydrates, proteins, VFAs, and the highest GRS-SCOD was found in EP-group, with approximately 5.2 times higher than that in AP group. Around 647 L/kgVS (volatile solids) of biogas was obtained in EP-group, which was up to 63.4% more than that in the control group (396 L/kgVS), and the corresponding VS removal efficiency reached to 45.5%. Therefore, EP might be a promising enhancement method for sludge solubilization, and thus contribute to the anaerobic digestion process. \u00a9 2014 Elsevier Ltd. All rights reserved.", "author" : [ { "dropping-particle" : "", "family" : "Yu", "given" : "Bao", "non-dropping-particle" : "", "parse-names" : false, "suffix" : "" }, { "dropping-particle" : "", "family" : "Xu", "given" : "Jianbo", "non-dropping-particle" : "", "parse-names" : false, "suffix" : "" }, { "dropping-particle" : "", "family" : "Yuan", "given" : "Haiping", "non-dropping-particle" : "", "parse-names" : false, "suffix" : "" }, { "dropping-particle" : "", "family" : "Lou", "given" : "Ziyang", "non-dropping-particle" : "", "parse-names" : false, "suffix" : "" }, { "dropping-particle" : "", "family" : "Lin", "given" : "Jinxian", "non-dropping-particle" : "", "parse-names" : false, "suffix" : "" }, { "dropping-particle" : "", "family" : "Zhu", "given" : "Nanwen", "non-dropping-particle" : "", "parse-names" : false, "suffix" : "" } ], "container-title" : "Fuel", "id" : "ITEM-1", "issued" : { "date-parts" : [ [ "2014" ] ] }, "page" : "279-285", "title" : "Enhancement of anaerobic digestion of waste activated sludge by electrochemical pretreatment", "type" : "article-journal", "volume" : "130" }, "uris" : [ "http://www.mendeley.com/documents/?uuid=7bed29ae-2bd8-4aba-bfd1-d5429050f282", "http://www.mendeley.com/documents/?uuid=099291f5-7469-44cd-9485-22c763845a70" ] } ], "mendeley" : { "formattedCitation" : "(Yu et al., 2014)", "plainTextFormattedCitation" : "(Yu et al., 2014)", "previouslyFormattedCitation" : "(Yu et al., 2014)" }, "properties" : {  }, "schema" : "https://github.com/citation-style-language/schema/raw/master/csl-citation.json" }</w:instrText>
      </w:r>
      <w:r w:rsidRPr="000412A1">
        <w:rPr>
          <w:sz w:val="22"/>
          <w:szCs w:val="22"/>
        </w:rPr>
        <w:fldChar w:fldCharType="separate"/>
      </w:r>
      <w:r w:rsidR="00FD4989" w:rsidRPr="000412A1">
        <w:rPr>
          <w:noProof/>
          <w:sz w:val="22"/>
          <w:szCs w:val="22"/>
        </w:rPr>
        <w:t>(Yu et al., 2014)</w:t>
      </w:r>
      <w:r w:rsidRPr="000412A1">
        <w:rPr>
          <w:sz w:val="22"/>
          <w:szCs w:val="22"/>
        </w:rPr>
        <w:fldChar w:fldCharType="end"/>
      </w:r>
      <w:r w:rsidRPr="000412A1">
        <w:rPr>
          <w:sz w:val="22"/>
          <w:szCs w:val="22"/>
        </w:rPr>
        <w:t>. OH</w:t>
      </w:r>
      <w:r w:rsidR="004964CD" w:rsidRPr="000412A1">
        <w:rPr>
          <w:sz w:val="22"/>
          <w:szCs w:val="22"/>
        </w:rPr>
        <w:t xml:space="preserve"> radical</w:t>
      </w:r>
      <w:r w:rsidR="00FA3A0A" w:rsidRPr="000412A1">
        <w:rPr>
          <w:sz w:val="22"/>
          <w:szCs w:val="22"/>
        </w:rPr>
        <w:t>s</w:t>
      </w:r>
      <w:r w:rsidRPr="000412A1">
        <w:rPr>
          <w:sz w:val="22"/>
          <w:szCs w:val="22"/>
        </w:rPr>
        <w:t xml:space="preserve"> </w:t>
      </w:r>
      <w:r w:rsidR="00B8122D" w:rsidRPr="000412A1">
        <w:rPr>
          <w:sz w:val="22"/>
          <w:szCs w:val="22"/>
        </w:rPr>
        <w:t xml:space="preserve">can promote </w:t>
      </w:r>
      <w:r w:rsidR="000412A1" w:rsidRPr="000412A1">
        <w:rPr>
          <w:sz w:val="22"/>
          <w:szCs w:val="22"/>
        </w:rPr>
        <w:t xml:space="preserve">sludge </w:t>
      </w:r>
      <w:r w:rsidR="00B8122D" w:rsidRPr="000412A1">
        <w:rPr>
          <w:sz w:val="22"/>
          <w:szCs w:val="22"/>
        </w:rPr>
        <w:t xml:space="preserve">breakdown and </w:t>
      </w:r>
      <w:r w:rsidR="000412A1" w:rsidRPr="000412A1">
        <w:rPr>
          <w:sz w:val="22"/>
          <w:szCs w:val="22"/>
        </w:rPr>
        <w:t xml:space="preserve">EPS </w:t>
      </w:r>
      <w:r w:rsidR="00B8122D" w:rsidRPr="000412A1">
        <w:rPr>
          <w:sz w:val="22"/>
          <w:szCs w:val="22"/>
        </w:rPr>
        <w:t xml:space="preserve">dissociation </w:t>
      </w:r>
      <w:r w:rsidR="00B8122D" w:rsidRPr="009A0A82">
        <w:rPr>
          <w:sz w:val="22"/>
          <w:szCs w:val="22"/>
        </w:rPr>
        <w:t>via</w:t>
      </w:r>
      <w:r w:rsidR="00B8122D" w:rsidRPr="000412A1">
        <w:rPr>
          <w:sz w:val="22"/>
          <w:szCs w:val="22"/>
        </w:rPr>
        <w:t xml:space="preserve"> chemical oxidation at very low concentration</w:t>
      </w:r>
      <w:r w:rsidR="00FA3A0A" w:rsidRPr="000412A1">
        <w:rPr>
          <w:sz w:val="22"/>
          <w:szCs w:val="22"/>
        </w:rPr>
        <w:t>s</w:t>
      </w:r>
      <w:r w:rsidR="0021240F" w:rsidRPr="000412A1">
        <w:rPr>
          <w:sz w:val="22"/>
          <w:szCs w:val="22"/>
        </w:rPr>
        <w:t>.</w:t>
      </w:r>
    </w:p>
    <w:p w14:paraId="798D69CF" w14:textId="6A7A169C" w:rsidR="00930441" w:rsidRPr="000412A1" w:rsidRDefault="00930441" w:rsidP="00930441">
      <w:pPr>
        <w:spacing w:line="480" w:lineRule="auto"/>
        <w:rPr>
          <w:sz w:val="22"/>
          <w:szCs w:val="22"/>
        </w:rPr>
      </w:pPr>
      <m:oMath>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 →M</m:t>
        </m:r>
        <m:d>
          <m:dPr>
            <m:ctrlPr>
              <w:rPr>
                <w:rFonts w:ascii="Cambria Math" w:hAnsi="Cambria Math"/>
                <w:i/>
                <w:sz w:val="22"/>
                <w:szCs w:val="22"/>
              </w:rPr>
            </m:ctrlPr>
          </m:dPr>
          <m:e>
            <m:r>
              <w:rPr>
                <w:rFonts w:ascii="Cambria Math" w:hAnsi="Cambria Math"/>
                <w:sz w:val="22"/>
                <w:szCs w:val="22"/>
              </w:rPr>
              <m:t>·OH</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up>
        </m:sSup>
      </m:oMath>
      <w:r w:rsidRPr="000412A1">
        <w:rPr>
          <w:sz w:val="22"/>
          <w:szCs w:val="22"/>
        </w:rPr>
        <w:tab/>
      </w:r>
      <w:r w:rsidR="003F1DAF" w:rsidRPr="000412A1">
        <w:rPr>
          <w:sz w:val="22"/>
          <w:szCs w:val="22"/>
        </w:rPr>
        <w:tab/>
      </w:r>
      <w:r w:rsidR="003F1DAF" w:rsidRPr="000412A1">
        <w:rPr>
          <w:sz w:val="22"/>
          <w:szCs w:val="22"/>
        </w:rPr>
        <w:tab/>
      </w:r>
      <w:r w:rsidR="003F1DAF" w:rsidRPr="000412A1">
        <w:rPr>
          <w:sz w:val="22"/>
          <w:szCs w:val="22"/>
        </w:rPr>
        <w:tab/>
      </w:r>
      <w:r w:rsidR="003F1DAF" w:rsidRPr="000412A1">
        <w:rPr>
          <w:sz w:val="22"/>
          <w:szCs w:val="22"/>
        </w:rPr>
        <w:tab/>
      </w:r>
      <w:r w:rsidR="003F1DAF" w:rsidRPr="000412A1">
        <w:rPr>
          <w:sz w:val="22"/>
          <w:szCs w:val="22"/>
        </w:rPr>
        <w:tab/>
      </w:r>
      <w:r w:rsidR="003F1DAF" w:rsidRPr="000412A1">
        <w:rPr>
          <w:sz w:val="22"/>
          <w:szCs w:val="22"/>
        </w:rPr>
        <w:tab/>
      </w:r>
      <w:r w:rsidRPr="000412A1">
        <w:rPr>
          <w:sz w:val="22"/>
          <w:szCs w:val="22"/>
        </w:rPr>
        <w:t>(1)</w:t>
      </w:r>
    </w:p>
    <w:p w14:paraId="6A1071F2" w14:textId="77777777" w:rsidR="003F1DAF" w:rsidRPr="000412A1" w:rsidRDefault="003F1DAF" w:rsidP="00930441">
      <w:pPr>
        <w:spacing w:line="480" w:lineRule="auto"/>
        <w:rPr>
          <w:sz w:val="22"/>
          <w:szCs w:val="22"/>
        </w:rPr>
      </w:pPr>
    </w:p>
    <w:p w14:paraId="1D14D24C" w14:textId="05A8C429" w:rsidR="003F1DAF" w:rsidRPr="000412A1" w:rsidRDefault="003F1DAF" w:rsidP="003F1DAF">
      <w:pPr>
        <w:spacing w:line="480" w:lineRule="auto"/>
        <w:rPr>
          <w:sz w:val="22"/>
          <w:szCs w:val="22"/>
        </w:rPr>
      </w:pPr>
      <m:oMath>
        <m:r>
          <w:rPr>
            <w:rFonts w:ascii="Cambria Math" w:hAnsi="Cambria Math"/>
            <w:sz w:val="22"/>
            <w:szCs w:val="22"/>
          </w:rPr>
          <m:t>2M</m:t>
        </m:r>
        <m:d>
          <m:dPr>
            <m:ctrlPr>
              <w:rPr>
                <w:rFonts w:ascii="Cambria Math" w:hAnsi="Cambria Math"/>
                <w:i/>
                <w:sz w:val="22"/>
                <w:szCs w:val="22"/>
              </w:rPr>
            </m:ctrlPr>
          </m:dPr>
          <m:e>
            <m:r>
              <w:rPr>
                <w:rFonts w:ascii="Cambria Math" w:hAnsi="Cambria Math"/>
                <w:sz w:val="22"/>
                <w:szCs w:val="22"/>
              </w:rPr>
              <m:t>·OH</m:t>
            </m:r>
          </m:e>
        </m:d>
        <m:r>
          <w:rPr>
            <w:rFonts w:ascii="Cambria Math" w:hAnsi="Cambria Math"/>
            <w:sz w:val="22"/>
            <w:szCs w:val="22"/>
          </w:rPr>
          <m:t xml:space="preserve"> →2MO+</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2</m:t>
            </m:r>
          </m:sub>
        </m:sSub>
      </m:oMath>
      <w:r w:rsidRPr="000412A1">
        <w:rPr>
          <w:sz w:val="22"/>
          <w:szCs w:val="22"/>
        </w:rPr>
        <w:tab/>
      </w:r>
      <w:r w:rsidRPr="000412A1">
        <w:rPr>
          <w:sz w:val="22"/>
          <w:szCs w:val="22"/>
        </w:rPr>
        <w:tab/>
      </w:r>
      <w:r w:rsidRPr="000412A1">
        <w:rPr>
          <w:sz w:val="22"/>
          <w:szCs w:val="22"/>
        </w:rPr>
        <w:tab/>
      </w:r>
      <w:r w:rsidRPr="000412A1">
        <w:rPr>
          <w:sz w:val="22"/>
          <w:szCs w:val="22"/>
        </w:rPr>
        <w:tab/>
      </w:r>
      <w:r w:rsidRPr="000412A1">
        <w:rPr>
          <w:sz w:val="22"/>
          <w:szCs w:val="22"/>
        </w:rPr>
        <w:tab/>
      </w:r>
      <w:r w:rsidRPr="000412A1">
        <w:rPr>
          <w:sz w:val="22"/>
          <w:szCs w:val="22"/>
        </w:rPr>
        <w:tab/>
      </w:r>
      <w:r w:rsidRPr="000412A1">
        <w:rPr>
          <w:sz w:val="22"/>
          <w:szCs w:val="22"/>
        </w:rPr>
        <w:tab/>
      </w:r>
      <w:r w:rsidRPr="000412A1">
        <w:rPr>
          <w:sz w:val="22"/>
          <w:szCs w:val="22"/>
        </w:rPr>
        <w:tab/>
        <w:t>(2)</w:t>
      </w:r>
    </w:p>
    <w:p w14:paraId="1E881329" w14:textId="77777777" w:rsidR="003F1DAF" w:rsidRPr="000412A1" w:rsidRDefault="003F1DAF" w:rsidP="00930441">
      <w:pPr>
        <w:spacing w:line="480" w:lineRule="auto"/>
        <w:rPr>
          <w:sz w:val="22"/>
          <w:szCs w:val="22"/>
        </w:rPr>
      </w:pPr>
    </w:p>
    <w:p w14:paraId="1E9429B6" w14:textId="4F4214C8" w:rsidR="004D7D53" w:rsidRPr="000412A1" w:rsidRDefault="001F70CA" w:rsidP="00E26A1C">
      <w:pPr>
        <w:tabs>
          <w:tab w:val="left" w:pos="426"/>
        </w:tabs>
        <w:spacing w:line="480" w:lineRule="auto"/>
        <w:rPr>
          <w:sz w:val="22"/>
          <w:szCs w:val="22"/>
        </w:rPr>
      </w:pPr>
      <w:r w:rsidRPr="000412A1">
        <w:rPr>
          <w:sz w:val="22"/>
          <w:szCs w:val="22"/>
        </w:rPr>
        <w:t xml:space="preserve">When </w:t>
      </w:r>
      <w:r w:rsidR="00F56FD6" w:rsidRPr="000412A1">
        <w:rPr>
          <w:sz w:val="22"/>
          <w:szCs w:val="22"/>
        </w:rPr>
        <w:t>cell</w:t>
      </w:r>
      <w:r w:rsidRPr="000412A1">
        <w:rPr>
          <w:sz w:val="22"/>
          <w:szCs w:val="22"/>
        </w:rPr>
        <w:t>s contained in WAS</w:t>
      </w:r>
      <w:r w:rsidR="00F56FD6" w:rsidRPr="000412A1">
        <w:rPr>
          <w:sz w:val="22"/>
          <w:szCs w:val="22"/>
        </w:rPr>
        <w:t xml:space="preserve"> </w:t>
      </w:r>
      <w:r w:rsidRPr="000412A1">
        <w:rPr>
          <w:sz w:val="22"/>
          <w:szCs w:val="22"/>
        </w:rPr>
        <w:t xml:space="preserve">are </w:t>
      </w:r>
      <w:r w:rsidR="00F56FD6" w:rsidRPr="000412A1">
        <w:rPr>
          <w:sz w:val="22"/>
          <w:szCs w:val="22"/>
        </w:rPr>
        <w:t xml:space="preserve">exposed to </w:t>
      </w:r>
      <w:r w:rsidRPr="000412A1">
        <w:rPr>
          <w:sz w:val="22"/>
          <w:szCs w:val="22"/>
        </w:rPr>
        <w:t xml:space="preserve">an </w:t>
      </w:r>
      <w:r w:rsidR="00F56FD6" w:rsidRPr="000412A1">
        <w:rPr>
          <w:sz w:val="22"/>
          <w:szCs w:val="22"/>
        </w:rPr>
        <w:t>external electric field</w:t>
      </w:r>
      <w:r w:rsidRPr="000412A1">
        <w:rPr>
          <w:sz w:val="22"/>
          <w:szCs w:val="22"/>
        </w:rPr>
        <w:t>,</w:t>
      </w:r>
      <w:r w:rsidR="00F56FD6" w:rsidRPr="000412A1">
        <w:rPr>
          <w:sz w:val="22"/>
          <w:szCs w:val="22"/>
        </w:rPr>
        <w:t xml:space="preserve"> the</w:t>
      </w:r>
      <w:r w:rsidR="00AA6E64" w:rsidRPr="000412A1">
        <w:rPr>
          <w:sz w:val="22"/>
          <w:szCs w:val="22"/>
        </w:rPr>
        <w:t xml:space="preserve">re is a build-up of </w:t>
      </w:r>
      <w:r w:rsidR="00F56FD6" w:rsidRPr="000412A1">
        <w:rPr>
          <w:sz w:val="22"/>
          <w:szCs w:val="22"/>
        </w:rPr>
        <w:t xml:space="preserve">electrical charge </w:t>
      </w:r>
      <w:r w:rsidR="00AA6E64" w:rsidRPr="000412A1">
        <w:rPr>
          <w:sz w:val="22"/>
          <w:szCs w:val="22"/>
        </w:rPr>
        <w:t>on both sides</w:t>
      </w:r>
      <w:r w:rsidR="00F56FD6" w:rsidRPr="000412A1">
        <w:rPr>
          <w:sz w:val="22"/>
          <w:szCs w:val="22"/>
        </w:rPr>
        <w:t xml:space="preserve"> of </w:t>
      </w:r>
      <w:r w:rsidRPr="000412A1">
        <w:rPr>
          <w:sz w:val="22"/>
          <w:szCs w:val="22"/>
        </w:rPr>
        <w:t xml:space="preserve">the </w:t>
      </w:r>
      <w:r w:rsidR="00F56FD6" w:rsidRPr="000412A1">
        <w:rPr>
          <w:sz w:val="22"/>
          <w:szCs w:val="22"/>
        </w:rPr>
        <w:t>cell membrane</w:t>
      </w:r>
      <w:r w:rsidR="00AA6E64" w:rsidRPr="000412A1">
        <w:rPr>
          <w:sz w:val="22"/>
          <w:szCs w:val="22"/>
        </w:rPr>
        <w:t>. This</w:t>
      </w:r>
      <w:r w:rsidR="000412A1" w:rsidRPr="000412A1">
        <w:rPr>
          <w:sz w:val="22"/>
          <w:szCs w:val="22"/>
        </w:rPr>
        <w:t xml:space="preserve"> charge</w:t>
      </w:r>
      <w:r w:rsidR="00AA6E64" w:rsidRPr="000412A1">
        <w:rPr>
          <w:sz w:val="22"/>
          <w:szCs w:val="22"/>
        </w:rPr>
        <w:t xml:space="preserve"> overload</w:t>
      </w:r>
      <w:r w:rsidR="00AA6E64" w:rsidRPr="000412A1" w:rsidDel="00AA6E64">
        <w:rPr>
          <w:sz w:val="22"/>
          <w:szCs w:val="22"/>
        </w:rPr>
        <w:t xml:space="preserve"> </w:t>
      </w:r>
      <w:r w:rsidR="002B08E7" w:rsidRPr="000412A1">
        <w:rPr>
          <w:sz w:val="22"/>
          <w:szCs w:val="22"/>
        </w:rPr>
        <w:t>exceeds the</w:t>
      </w:r>
      <w:r w:rsidR="002B08E7" w:rsidRPr="000412A1" w:rsidDel="002B08E7">
        <w:rPr>
          <w:sz w:val="22"/>
          <w:szCs w:val="22"/>
        </w:rPr>
        <w:t xml:space="preserve"> </w:t>
      </w:r>
      <w:r w:rsidR="002B08E7" w:rsidRPr="000412A1">
        <w:rPr>
          <w:sz w:val="22"/>
          <w:szCs w:val="22"/>
        </w:rPr>
        <w:t>membrane’s</w:t>
      </w:r>
      <w:r w:rsidR="002B08E7" w:rsidRPr="000412A1" w:rsidDel="002B08E7">
        <w:rPr>
          <w:sz w:val="22"/>
          <w:szCs w:val="22"/>
        </w:rPr>
        <w:t xml:space="preserve"> </w:t>
      </w:r>
      <w:r w:rsidR="00F56FD6" w:rsidRPr="000412A1">
        <w:rPr>
          <w:sz w:val="22"/>
          <w:szCs w:val="22"/>
        </w:rPr>
        <w:t xml:space="preserve">elastic resistance </w:t>
      </w:r>
      <w:r w:rsidR="001D70A1" w:rsidRPr="000412A1">
        <w:rPr>
          <w:sz w:val="22"/>
          <w:szCs w:val="22"/>
        </w:rPr>
        <w:t xml:space="preserve">and causes </w:t>
      </w:r>
      <w:r w:rsidR="00AA6E64" w:rsidRPr="000412A1">
        <w:rPr>
          <w:sz w:val="22"/>
          <w:szCs w:val="22"/>
        </w:rPr>
        <w:t>its</w:t>
      </w:r>
      <w:r w:rsidR="001D70A1" w:rsidRPr="000412A1">
        <w:rPr>
          <w:sz w:val="22"/>
          <w:szCs w:val="22"/>
        </w:rPr>
        <w:t xml:space="preserve"> </w:t>
      </w:r>
      <w:r w:rsidR="002B08E7" w:rsidRPr="000412A1">
        <w:rPr>
          <w:sz w:val="22"/>
          <w:szCs w:val="22"/>
        </w:rPr>
        <w:t>fracture</w:t>
      </w:r>
      <w:r w:rsidR="005D7A1A" w:rsidRPr="000412A1">
        <w:rPr>
          <w:sz w:val="22"/>
          <w:szCs w:val="22"/>
        </w:rPr>
        <w:t>, resulting in the release of</w:t>
      </w:r>
      <w:r w:rsidR="00AA6E64" w:rsidRPr="000412A1">
        <w:rPr>
          <w:sz w:val="22"/>
          <w:szCs w:val="22"/>
        </w:rPr>
        <w:t xml:space="preserve"> </w:t>
      </w:r>
      <w:r w:rsidR="00F56FD6" w:rsidRPr="000412A1">
        <w:rPr>
          <w:sz w:val="22"/>
          <w:szCs w:val="22"/>
        </w:rPr>
        <w:t xml:space="preserve">organic substances </w:t>
      </w:r>
      <w:r w:rsidR="002B08E7" w:rsidRPr="000412A1">
        <w:rPr>
          <w:sz w:val="22"/>
          <w:szCs w:val="22"/>
        </w:rPr>
        <w:t>that</w:t>
      </w:r>
      <w:r w:rsidR="00F56FD6" w:rsidRPr="000412A1">
        <w:rPr>
          <w:sz w:val="22"/>
          <w:szCs w:val="22"/>
        </w:rPr>
        <w:t xml:space="preserve"> </w:t>
      </w:r>
      <w:r w:rsidR="00AE0D3C" w:rsidRPr="000412A1">
        <w:rPr>
          <w:sz w:val="22"/>
          <w:szCs w:val="22"/>
        </w:rPr>
        <w:t>favour</w:t>
      </w:r>
      <w:r w:rsidRPr="000412A1">
        <w:rPr>
          <w:sz w:val="22"/>
          <w:szCs w:val="22"/>
        </w:rPr>
        <w:t xml:space="preserve"> </w:t>
      </w:r>
      <w:r w:rsidR="00F56FD6" w:rsidRPr="000412A1">
        <w:rPr>
          <w:sz w:val="22"/>
          <w:szCs w:val="22"/>
        </w:rPr>
        <w:t xml:space="preserve">the hydrolysis </w:t>
      </w:r>
      <w:r w:rsidR="00AE0D3C" w:rsidRPr="000412A1">
        <w:rPr>
          <w:sz w:val="22"/>
          <w:szCs w:val="22"/>
        </w:rPr>
        <w:t xml:space="preserve">stage in anaerobic digestion </w:t>
      </w:r>
      <w:r w:rsidR="00605F66" w:rsidRPr="000412A1">
        <w:rPr>
          <w:sz w:val="22"/>
          <w:szCs w:val="22"/>
        </w:rPr>
        <w:fldChar w:fldCharType="begin" w:fldLock="1"/>
      </w:r>
      <w:r w:rsidR="00A07857" w:rsidRPr="000412A1">
        <w:rPr>
          <w:sz w:val="22"/>
          <w:szCs w:val="22"/>
        </w:rPr>
        <w:instrText>ADDIN CSL_CITATION { "citationItems" : [ { "id" : "ITEM-1", "itemData" : { "DOI" : "10.2175/193864708788733675", "ISSN" : "19386478", "abstract" : "Researchers tested using pulsed electric field (PEF) technology to enhance conversion of organic solids material in waste activated sludge (WAS) and pig manure to soluble and colloidal forms, which are more bioavailable for methane production during subsequent anaerobic digestion. Operating parameters were varied from 1.1 to 19.8 kWhr/m3 to show the influence amount of treatment has on soluble chemical oxygen demand (SCOD), small colloidal solids, and methane production via the biochemical methane potential test. When PEF treatment exceeded a threshold, which was approximately 10 kWhr/m3, focused pulsed treatment solubilized approximately 10% of the total COD, increasing SCOD from as low as 20 mg/L to more than 1000 mg/L. The process also disrupted a larger portion of the volatile suspended solids (VSS) to form small colloids not measured by the VSS assay (between 0.2 and 1.2 \u03bcm). The effects increased the biological methane potential of the samples significantly: by 80% for pig manure and 100% for WAS after 25 to 30 days. These results support the conclusion that PEF pretreatment before anaerobic digestion has the potential to significantly improve digester performance, resulting in added methane production and decreased residual biosolids.", "author" : [ { "dropping-particle" : "", "family" : "Salerno", "given" : "Michael B.", "non-dropping-particle" : "", "parse-names" : false, "suffix" : "" }, { "dropping-particle" : "", "family" : "Lee", "given" : "Hyung-Sool", "non-dropping-particle" : "", "parse-names" : false, "suffix" : "" }, { "dropping-particle" : "", "family" : "Parameswaran", "given" : "Prathap", "non-dropping-particle" : "", "parse-names" : false, "suffix" : "" }, { "dropping-particle" : "", "family" : "Rittmann", "given" : "Bruce E.", "non-dropping-particle" : "", "parse-names" : false, "suffix" : "" } ], "container-title" : "Proceedings of the Water Environment Federation", "id" : "ITEM-1", "issued" : { "date-parts" : [ [ "2012" ] ] }, "title" : "Using a Pulsed Electric Field as a Pretreatment for Improved Biosolids Digestion and Methanogenesis", "type" : "article-journal" }, "uris" : [ "http://www.mendeley.com/documents/?uuid=e25fa76b-534f-4e83-968e-fad2a98feb69", "http://www.mendeley.com/documents/?uuid=36ee7244-d223-4891-a573-1dd5968e7311" ] } ], "mendeley" : { "formattedCitation" : "(Salerno et al., 2012)", "plainTextFormattedCitation" : "(Salerno et al., 2012)", "previouslyFormattedCitation" : "(Salerno et al., 2012)" }, "properties" : {  }, "schema" : "https://github.com/citation-style-language/schema/raw/master/csl-citation.json" }</w:instrText>
      </w:r>
      <w:r w:rsidR="00605F66" w:rsidRPr="000412A1">
        <w:rPr>
          <w:sz w:val="22"/>
          <w:szCs w:val="22"/>
        </w:rPr>
        <w:fldChar w:fldCharType="separate"/>
      </w:r>
      <w:r w:rsidR="00FD4989" w:rsidRPr="000412A1">
        <w:rPr>
          <w:noProof/>
          <w:sz w:val="22"/>
          <w:szCs w:val="22"/>
        </w:rPr>
        <w:t>(Salerno et al., 2012)</w:t>
      </w:r>
      <w:r w:rsidR="00605F66" w:rsidRPr="000412A1">
        <w:rPr>
          <w:sz w:val="22"/>
          <w:szCs w:val="22"/>
        </w:rPr>
        <w:fldChar w:fldCharType="end"/>
      </w:r>
      <w:r w:rsidR="00BC5A0D" w:rsidRPr="000412A1">
        <w:rPr>
          <w:sz w:val="22"/>
          <w:szCs w:val="22"/>
        </w:rPr>
        <w:t xml:space="preserve">. </w:t>
      </w:r>
    </w:p>
    <w:p w14:paraId="56726FC8" w14:textId="77777777" w:rsidR="00605F66" w:rsidRPr="000412A1" w:rsidRDefault="00605F66" w:rsidP="00E26A1C">
      <w:pPr>
        <w:tabs>
          <w:tab w:val="left" w:pos="426"/>
        </w:tabs>
        <w:spacing w:line="480" w:lineRule="auto"/>
        <w:rPr>
          <w:sz w:val="22"/>
          <w:szCs w:val="22"/>
        </w:rPr>
      </w:pPr>
    </w:p>
    <w:p w14:paraId="27B3235E" w14:textId="3E80BBA5" w:rsidR="00175F65" w:rsidRPr="000412A1" w:rsidRDefault="004D7D53" w:rsidP="00E26A1C">
      <w:pPr>
        <w:tabs>
          <w:tab w:val="left" w:pos="426"/>
        </w:tabs>
        <w:spacing w:line="480" w:lineRule="auto"/>
        <w:rPr>
          <w:sz w:val="22"/>
          <w:szCs w:val="22"/>
        </w:rPr>
      </w:pPr>
      <w:r w:rsidRPr="000412A1">
        <w:rPr>
          <w:sz w:val="22"/>
          <w:szCs w:val="22"/>
        </w:rPr>
        <w:t>T</w:t>
      </w:r>
      <w:r w:rsidR="00560703" w:rsidRPr="000412A1">
        <w:rPr>
          <w:sz w:val="22"/>
          <w:szCs w:val="22"/>
        </w:rPr>
        <w:t xml:space="preserve">he </w:t>
      </w:r>
      <w:r w:rsidR="00E50B19" w:rsidRPr="000412A1">
        <w:rPr>
          <w:sz w:val="22"/>
          <w:szCs w:val="22"/>
        </w:rPr>
        <w:t>objective of this study was t</w:t>
      </w:r>
      <w:r w:rsidR="0008299A" w:rsidRPr="000412A1">
        <w:rPr>
          <w:sz w:val="22"/>
          <w:szCs w:val="22"/>
        </w:rPr>
        <w:t>o evaluate the effects</w:t>
      </w:r>
      <w:r w:rsidR="00C07D30" w:rsidRPr="000412A1">
        <w:rPr>
          <w:sz w:val="22"/>
          <w:szCs w:val="22"/>
        </w:rPr>
        <w:t xml:space="preserve"> </w:t>
      </w:r>
      <w:r w:rsidR="0008299A" w:rsidRPr="000412A1">
        <w:rPr>
          <w:sz w:val="22"/>
          <w:szCs w:val="22"/>
        </w:rPr>
        <w:t xml:space="preserve">of </w:t>
      </w:r>
      <w:r w:rsidR="00E50B19" w:rsidRPr="000412A1">
        <w:rPr>
          <w:sz w:val="22"/>
          <w:szCs w:val="22"/>
        </w:rPr>
        <w:t>electr</w:t>
      </w:r>
      <w:r w:rsidR="001E7DCA" w:rsidRPr="000412A1">
        <w:rPr>
          <w:sz w:val="22"/>
          <w:szCs w:val="22"/>
        </w:rPr>
        <w:t>o-o</w:t>
      </w:r>
      <w:r w:rsidR="00E50B19" w:rsidRPr="000412A1">
        <w:rPr>
          <w:sz w:val="22"/>
          <w:szCs w:val="22"/>
        </w:rPr>
        <w:t xml:space="preserve">xidation </w:t>
      </w:r>
      <w:r w:rsidR="0008299A" w:rsidRPr="000412A1">
        <w:rPr>
          <w:sz w:val="22"/>
          <w:szCs w:val="22"/>
        </w:rPr>
        <w:t>on the</w:t>
      </w:r>
      <w:r w:rsidR="0028758A" w:rsidRPr="000412A1">
        <w:rPr>
          <w:sz w:val="22"/>
          <w:szCs w:val="22"/>
        </w:rPr>
        <w:t xml:space="preserve"> characteristics that govern</w:t>
      </w:r>
      <w:r w:rsidR="00FA7E29" w:rsidRPr="000412A1">
        <w:rPr>
          <w:sz w:val="22"/>
          <w:szCs w:val="22"/>
        </w:rPr>
        <w:t xml:space="preserve"> </w:t>
      </w:r>
      <w:r w:rsidR="0028758A" w:rsidRPr="000412A1">
        <w:rPr>
          <w:sz w:val="22"/>
          <w:szCs w:val="22"/>
        </w:rPr>
        <w:t>sewage</w:t>
      </w:r>
      <w:r w:rsidR="001A1FE2">
        <w:rPr>
          <w:sz w:val="22"/>
          <w:szCs w:val="22"/>
        </w:rPr>
        <w:t xml:space="preserve"> </w:t>
      </w:r>
      <w:r w:rsidR="0028758A" w:rsidRPr="000412A1">
        <w:rPr>
          <w:sz w:val="22"/>
          <w:szCs w:val="22"/>
        </w:rPr>
        <w:t xml:space="preserve">sludge </w:t>
      </w:r>
      <w:r w:rsidR="00FA7E29" w:rsidRPr="000412A1">
        <w:rPr>
          <w:sz w:val="22"/>
          <w:szCs w:val="22"/>
        </w:rPr>
        <w:t>stabilisation</w:t>
      </w:r>
      <w:r w:rsidR="00C07D30" w:rsidRPr="000412A1">
        <w:rPr>
          <w:sz w:val="22"/>
          <w:szCs w:val="22"/>
        </w:rPr>
        <w:t xml:space="preserve">. </w:t>
      </w:r>
      <w:r w:rsidR="0008299A" w:rsidRPr="000412A1">
        <w:rPr>
          <w:sz w:val="22"/>
          <w:szCs w:val="22"/>
        </w:rPr>
        <w:t>E</w:t>
      </w:r>
      <w:r w:rsidR="00FA7E29" w:rsidRPr="000412A1">
        <w:rPr>
          <w:sz w:val="22"/>
          <w:szCs w:val="22"/>
        </w:rPr>
        <w:t>le</w:t>
      </w:r>
      <w:r w:rsidR="00510630" w:rsidRPr="000412A1">
        <w:rPr>
          <w:sz w:val="22"/>
          <w:szCs w:val="22"/>
        </w:rPr>
        <w:t>c</w:t>
      </w:r>
      <w:r w:rsidR="00FA7E29" w:rsidRPr="000412A1">
        <w:rPr>
          <w:sz w:val="22"/>
          <w:szCs w:val="22"/>
        </w:rPr>
        <w:t>tr</w:t>
      </w:r>
      <w:r w:rsidR="001E7DCA" w:rsidRPr="000412A1">
        <w:rPr>
          <w:sz w:val="22"/>
          <w:szCs w:val="22"/>
        </w:rPr>
        <w:t>o-o</w:t>
      </w:r>
      <w:r w:rsidR="00FA7E29" w:rsidRPr="000412A1">
        <w:rPr>
          <w:sz w:val="22"/>
          <w:szCs w:val="22"/>
        </w:rPr>
        <w:t xml:space="preserve">xidation </w:t>
      </w:r>
      <w:r w:rsidR="004964CD" w:rsidRPr="000412A1">
        <w:rPr>
          <w:sz w:val="22"/>
          <w:szCs w:val="22"/>
        </w:rPr>
        <w:t xml:space="preserve">was </w:t>
      </w:r>
      <w:r w:rsidR="0008299A" w:rsidRPr="000412A1">
        <w:rPr>
          <w:sz w:val="22"/>
          <w:szCs w:val="22"/>
        </w:rPr>
        <w:t xml:space="preserve">used in two </w:t>
      </w:r>
      <w:r w:rsidR="00C07D30" w:rsidRPr="000412A1">
        <w:rPr>
          <w:sz w:val="22"/>
          <w:szCs w:val="22"/>
        </w:rPr>
        <w:t xml:space="preserve">different </w:t>
      </w:r>
      <w:r w:rsidR="0008299A" w:rsidRPr="000412A1">
        <w:rPr>
          <w:sz w:val="22"/>
          <w:szCs w:val="22"/>
        </w:rPr>
        <w:t>downstream processes. The first</w:t>
      </w:r>
      <w:r w:rsidR="000412A1">
        <w:rPr>
          <w:sz w:val="22"/>
          <w:szCs w:val="22"/>
        </w:rPr>
        <w:t xml:space="preserve"> was</w:t>
      </w:r>
      <w:r w:rsidR="00744BD0" w:rsidRPr="000412A1">
        <w:rPr>
          <w:sz w:val="22"/>
          <w:szCs w:val="22"/>
        </w:rPr>
        <w:t xml:space="preserve"> </w:t>
      </w:r>
      <w:r w:rsidR="00C07D30" w:rsidRPr="000412A1">
        <w:rPr>
          <w:sz w:val="22"/>
          <w:szCs w:val="22"/>
        </w:rPr>
        <w:t xml:space="preserve">in </w:t>
      </w:r>
      <w:r w:rsidR="00C02204" w:rsidRPr="000412A1">
        <w:rPr>
          <w:sz w:val="22"/>
          <w:szCs w:val="22"/>
        </w:rPr>
        <w:t>WAS</w:t>
      </w:r>
      <w:r w:rsidR="00C02204" w:rsidRPr="000412A1" w:rsidDel="0008299A">
        <w:rPr>
          <w:sz w:val="22"/>
          <w:szCs w:val="22"/>
        </w:rPr>
        <w:t xml:space="preserve"> </w:t>
      </w:r>
      <w:proofErr w:type="spellStart"/>
      <w:r w:rsidR="00AE0D3C" w:rsidRPr="000412A1">
        <w:rPr>
          <w:sz w:val="22"/>
          <w:szCs w:val="22"/>
        </w:rPr>
        <w:t>pretreatment</w:t>
      </w:r>
      <w:proofErr w:type="spellEnd"/>
      <w:r w:rsidR="00AE0D3C" w:rsidRPr="000412A1">
        <w:rPr>
          <w:sz w:val="22"/>
          <w:szCs w:val="22"/>
        </w:rPr>
        <w:t xml:space="preserve"> </w:t>
      </w:r>
      <w:r w:rsidR="0008299A" w:rsidRPr="000412A1">
        <w:rPr>
          <w:sz w:val="22"/>
          <w:szCs w:val="22"/>
        </w:rPr>
        <w:t xml:space="preserve">for </w:t>
      </w:r>
      <w:r w:rsidR="00E50B19" w:rsidRPr="000412A1">
        <w:rPr>
          <w:sz w:val="22"/>
          <w:szCs w:val="22"/>
        </w:rPr>
        <w:t>improv</w:t>
      </w:r>
      <w:r w:rsidR="0008299A" w:rsidRPr="000412A1">
        <w:rPr>
          <w:sz w:val="22"/>
          <w:szCs w:val="22"/>
        </w:rPr>
        <w:t>ing</w:t>
      </w:r>
      <w:r w:rsidR="00E50B19" w:rsidRPr="000412A1">
        <w:rPr>
          <w:sz w:val="22"/>
          <w:szCs w:val="22"/>
        </w:rPr>
        <w:t xml:space="preserve"> </w:t>
      </w:r>
      <w:r w:rsidR="0008299A" w:rsidRPr="000412A1">
        <w:rPr>
          <w:sz w:val="22"/>
          <w:szCs w:val="22"/>
        </w:rPr>
        <w:t xml:space="preserve">its </w:t>
      </w:r>
      <w:r w:rsidR="00FA7E29" w:rsidRPr="000412A1">
        <w:rPr>
          <w:sz w:val="22"/>
          <w:szCs w:val="22"/>
        </w:rPr>
        <w:t xml:space="preserve">solubilisation of </w:t>
      </w:r>
      <w:r w:rsidR="00E50B19" w:rsidRPr="000412A1">
        <w:rPr>
          <w:sz w:val="22"/>
          <w:szCs w:val="22"/>
        </w:rPr>
        <w:t>organic material</w:t>
      </w:r>
      <w:r w:rsidR="0008299A" w:rsidRPr="000412A1">
        <w:rPr>
          <w:sz w:val="22"/>
          <w:szCs w:val="22"/>
        </w:rPr>
        <w:t xml:space="preserve"> and </w:t>
      </w:r>
      <w:r w:rsidR="00FA7E29" w:rsidRPr="000412A1">
        <w:rPr>
          <w:sz w:val="22"/>
          <w:szCs w:val="22"/>
        </w:rPr>
        <w:t xml:space="preserve">enhancing </w:t>
      </w:r>
      <w:r w:rsidR="00E50B19" w:rsidRPr="000412A1">
        <w:rPr>
          <w:sz w:val="22"/>
          <w:szCs w:val="22"/>
        </w:rPr>
        <w:t>ana</w:t>
      </w:r>
      <w:r w:rsidR="005E0413" w:rsidRPr="000412A1">
        <w:rPr>
          <w:sz w:val="22"/>
          <w:szCs w:val="22"/>
        </w:rPr>
        <w:t>erobic digestion</w:t>
      </w:r>
      <w:r w:rsidR="0008299A" w:rsidRPr="000412A1">
        <w:rPr>
          <w:sz w:val="22"/>
          <w:szCs w:val="22"/>
        </w:rPr>
        <w:t>. The second</w:t>
      </w:r>
      <w:r w:rsidR="00744BD0" w:rsidRPr="000412A1">
        <w:rPr>
          <w:sz w:val="22"/>
          <w:szCs w:val="22"/>
        </w:rPr>
        <w:t>,</w:t>
      </w:r>
      <w:r w:rsidR="0008299A" w:rsidRPr="000412A1">
        <w:rPr>
          <w:sz w:val="22"/>
          <w:szCs w:val="22"/>
        </w:rPr>
        <w:t xml:space="preserve"> as </w:t>
      </w:r>
      <w:r w:rsidR="00FA7E29" w:rsidRPr="000412A1">
        <w:rPr>
          <w:sz w:val="22"/>
          <w:szCs w:val="22"/>
        </w:rPr>
        <w:t>post-treatment</w:t>
      </w:r>
      <w:r w:rsidR="0008299A" w:rsidRPr="000412A1">
        <w:rPr>
          <w:sz w:val="22"/>
          <w:szCs w:val="22"/>
        </w:rPr>
        <w:t xml:space="preserve"> </w:t>
      </w:r>
      <w:r w:rsidR="00C07D30" w:rsidRPr="000412A1">
        <w:rPr>
          <w:sz w:val="22"/>
          <w:szCs w:val="22"/>
        </w:rPr>
        <w:t>application</w:t>
      </w:r>
      <w:r w:rsidR="009D3055" w:rsidRPr="000412A1">
        <w:rPr>
          <w:sz w:val="22"/>
          <w:szCs w:val="22"/>
        </w:rPr>
        <w:t>,</w:t>
      </w:r>
      <w:r w:rsidR="00FA7E29" w:rsidRPr="000412A1">
        <w:rPr>
          <w:sz w:val="22"/>
          <w:szCs w:val="22"/>
        </w:rPr>
        <w:t xml:space="preserve"> </w:t>
      </w:r>
      <w:r w:rsidR="000412A1">
        <w:rPr>
          <w:sz w:val="22"/>
          <w:szCs w:val="22"/>
        </w:rPr>
        <w:t xml:space="preserve">was </w:t>
      </w:r>
      <w:r w:rsidR="001E2506" w:rsidRPr="000412A1">
        <w:rPr>
          <w:sz w:val="22"/>
          <w:szCs w:val="22"/>
        </w:rPr>
        <w:t xml:space="preserve">once </w:t>
      </w:r>
      <w:r w:rsidR="00FA7E29" w:rsidRPr="000412A1">
        <w:rPr>
          <w:sz w:val="22"/>
          <w:szCs w:val="22"/>
        </w:rPr>
        <w:t>sewage sludge</w:t>
      </w:r>
      <w:r w:rsidR="00C07D30" w:rsidRPr="000412A1">
        <w:rPr>
          <w:sz w:val="22"/>
          <w:szCs w:val="22"/>
        </w:rPr>
        <w:t xml:space="preserve"> </w:t>
      </w:r>
      <w:r w:rsidR="00B81087" w:rsidRPr="000412A1">
        <w:rPr>
          <w:sz w:val="22"/>
          <w:szCs w:val="22"/>
        </w:rPr>
        <w:t xml:space="preserve">had been </w:t>
      </w:r>
      <w:r w:rsidR="001E2506" w:rsidRPr="000412A1">
        <w:rPr>
          <w:sz w:val="22"/>
          <w:szCs w:val="22"/>
        </w:rPr>
        <w:t>treated by</w:t>
      </w:r>
      <w:r w:rsidR="00C07D30" w:rsidRPr="000412A1">
        <w:rPr>
          <w:sz w:val="22"/>
          <w:szCs w:val="22"/>
        </w:rPr>
        <w:t xml:space="preserve"> </w:t>
      </w:r>
      <w:r w:rsidR="00FA7E29" w:rsidRPr="000412A1">
        <w:rPr>
          <w:sz w:val="22"/>
          <w:szCs w:val="22"/>
        </w:rPr>
        <w:t xml:space="preserve">anaerobic </w:t>
      </w:r>
      <w:r w:rsidR="001E2506" w:rsidRPr="000412A1">
        <w:rPr>
          <w:sz w:val="22"/>
          <w:szCs w:val="22"/>
        </w:rPr>
        <w:t>digestion</w:t>
      </w:r>
      <w:r w:rsidR="00FA7E29" w:rsidRPr="000412A1">
        <w:rPr>
          <w:sz w:val="22"/>
          <w:szCs w:val="22"/>
        </w:rPr>
        <w:t xml:space="preserve">. </w:t>
      </w:r>
      <w:r w:rsidR="00902C1D" w:rsidRPr="000412A1">
        <w:rPr>
          <w:sz w:val="22"/>
          <w:szCs w:val="22"/>
        </w:rPr>
        <w:t>For t</w:t>
      </w:r>
      <w:r w:rsidR="00FA7E29" w:rsidRPr="000412A1">
        <w:rPr>
          <w:sz w:val="22"/>
          <w:szCs w:val="22"/>
        </w:rPr>
        <w:t>he treatment of sewage sludge</w:t>
      </w:r>
      <w:r w:rsidR="00902C1D" w:rsidRPr="000412A1">
        <w:rPr>
          <w:sz w:val="22"/>
          <w:szCs w:val="22"/>
        </w:rPr>
        <w:t>,</w:t>
      </w:r>
      <w:r w:rsidR="00FA7E29" w:rsidRPr="000412A1">
        <w:rPr>
          <w:sz w:val="22"/>
          <w:szCs w:val="22"/>
        </w:rPr>
        <w:t xml:space="preserve"> a </w:t>
      </w:r>
      <w:r w:rsidR="005E0413" w:rsidRPr="000412A1">
        <w:rPr>
          <w:sz w:val="22"/>
          <w:szCs w:val="22"/>
        </w:rPr>
        <w:t>boron-</w:t>
      </w:r>
      <w:r w:rsidR="00E50B19" w:rsidRPr="000412A1">
        <w:rPr>
          <w:sz w:val="22"/>
          <w:szCs w:val="22"/>
        </w:rPr>
        <w:t>doped</w:t>
      </w:r>
      <w:r w:rsidR="001A1FE2">
        <w:rPr>
          <w:sz w:val="22"/>
          <w:szCs w:val="22"/>
        </w:rPr>
        <w:t xml:space="preserve"> </w:t>
      </w:r>
      <w:r w:rsidR="005E0413" w:rsidRPr="000412A1">
        <w:rPr>
          <w:sz w:val="22"/>
          <w:szCs w:val="22"/>
        </w:rPr>
        <w:t>diamond (BDD)</w:t>
      </w:r>
      <w:r w:rsidR="00E50B19" w:rsidRPr="000412A1">
        <w:rPr>
          <w:sz w:val="22"/>
          <w:szCs w:val="22"/>
        </w:rPr>
        <w:t xml:space="preserve"> anode</w:t>
      </w:r>
      <w:r w:rsidR="00902C1D" w:rsidRPr="000412A1">
        <w:rPr>
          <w:sz w:val="22"/>
          <w:szCs w:val="22"/>
        </w:rPr>
        <w:t xml:space="preserve"> was </w:t>
      </w:r>
      <w:r w:rsidR="003D2312" w:rsidRPr="000412A1">
        <w:rPr>
          <w:sz w:val="22"/>
          <w:szCs w:val="22"/>
        </w:rPr>
        <w:t>utilised</w:t>
      </w:r>
      <w:r w:rsidR="00E50B19" w:rsidRPr="000412A1">
        <w:rPr>
          <w:sz w:val="22"/>
          <w:szCs w:val="22"/>
        </w:rPr>
        <w:t xml:space="preserve">. </w:t>
      </w:r>
      <w:proofErr w:type="spellStart"/>
      <w:r w:rsidR="000412A1">
        <w:rPr>
          <w:sz w:val="22"/>
          <w:szCs w:val="22"/>
        </w:rPr>
        <w:t>P</w:t>
      </w:r>
      <w:r w:rsidR="000412A1" w:rsidRPr="000412A1">
        <w:rPr>
          <w:sz w:val="22"/>
          <w:szCs w:val="22"/>
        </w:rPr>
        <w:t>retreatment</w:t>
      </w:r>
      <w:proofErr w:type="spellEnd"/>
      <w:r w:rsidR="000412A1" w:rsidRPr="000412A1">
        <w:rPr>
          <w:sz w:val="22"/>
          <w:szCs w:val="22"/>
        </w:rPr>
        <w:t xml:space="preserve"> </w:t>
      </w:r>
      <w:r w:rsidR="00E50B19" w:rsidRPr="000412A1">
        <w:rPr>
          <w:sz w:val="22"/>
          <w:szCs w:val="22"/>
        </w:rPr>
        <w:t xml:space="preserve">efficiency was assessed in terms of the quantity and quality of </w:t>
      </w:r>
      <w:r w:rsidR="000412A1" w:rsidRPr="000412A1">
        <w:rPr>
          <w:sz w:val="22"/>
          <w:szCs w:val="22"/>
        </w:rPr>
        <w:t xml:space="preserve">produced </w:t>
      </w:r>
      <w:r w:rsidR="00E50B19" w:rsidRPr="000412A1">
        <w:rPr>
          <w:sz w:val="22"/>
          <w:szCs w:val="22"/>
        </w:rPr>
        <w:t>biogas</w:t>
      </w:r>
      <w:r w:rsidR="000412A1">
        <w:rPr>
          <w:sz w:val="22"/>
          <w:szCs w:val="22"/>
        </w:rPr>
        <w:t>,</w:t>
      </w:r>
      <w:r w:rsidR="00FA7E29" w:rsidRPr="000412A1">
        <w:rPr>
          <w:sz w:val="22"/>
          <w:szCs w:val="22"/>
        </w:rPr>
        <w:t xml:space="preserve"> whereas in the case of post</w:t>
      </w:r>
      <w:r w:rsidR="00902C1D" w:rsidRPr="000412A1">
        <w:rPr>
          <w:sz w:val="22"/>
          <w:szCs w:val="22"/>
        </w:rPr>
        <w:t>-</w:t>
      </w:r>
      <w:r w:rsidR="00C315BE" w:rsidRPr="000412A1">
        <w:rPr>
          <w:sz w:val="22"/>
          <w:szCs w:val="22"/>
        </w:rPr>
        <w:t>treatment</w:t>
      </w:r>
      <w:r w:rsidR="00FA7E29" w:rsidRPr="000412A1">
        <w:rPr>
          <w:sz w:val="22"/>
          <w:szCs w:val="22"/>
        </w:rPr>
        <w:t>, efficiency</w:t>
      </w:r>
      <w:r w:rsidR="00C315BE" w:rsidRPr="000412A1">
        <w:rPr>
          <w:sz w:val="22"/>
          <w:szCs w:val="22"/>
        </w:rPr>
        <w:t xml:space="preserve"> was evaluated </w:t>
      </w:r>
      <w:r w:rsidR="00FA7E29" w:rsidRPr="000412A1">
        <w:rPr>
          <w:sz w:val="22"/>
          <w:szCs w:val="22"/>
        </w:rPr>
        <w:t>using</w:t>
      </w:r>
      <w:r w:rsidR="00C315BE" w:rsidRPr="000412A1">
        <w:rPr>
          <w:sz w:val="22"/>
          <w:szCs w:val="22"/>
        </w:rPr>
        <w:t xml:space="preserve"> digestate</w:t>
      </w:r>
      <w:r w:rsidR="000412A1">
        <w:rPr>
          <w:sz w:val="22"/>
          <w:szCs w:val="22"/>
        </w:rPr>
        <w:t xml:space="preserve"> </w:t>
      </w:r>
      <w:r w:rsidR="00FA7E29" w:rsidRPr="000412A1">
        <w:rPr>
          <w:sz w:val="22"/>
          <w:szCs w:val="22"/>
        </w:rPr>
        <w:t xml:space="preserve">dewatering </w:t>
      </w:r>
      <w:r w:rsidR="00C315BE" w:rsidRPr="000412A1">
        <w:rPr>
          <w:sz w:val="22"/>
          <w:szCs w:val="22"/>
        </w:rPr>
        <w:t>characteristics</w:t>
      </w:r>
      <w:r w:rsidR="007F7A4B" w:rsidRPr="000412A1">
        <w:rPr>
          <w:sz w:val="22"/>
          <w:szCs w:val="22"/>
        </w:rPr>
        <w:t>, particle</w:t>
      </w:r>
      <w:r w:rsidR="001A1FE2">
        <w:rPr>
          <w:sz w:val="22"/>
          <w:szCs w:val="22"/>
        </w:rPr>
        <w:t xml:space="preserve"> </w:t>
      </w:r>
      <w:r w:rsidR="007F7A4B" w:rsidRPr="000412A1">
        <w:rPr>
          <w:sz w:val="22"/>
          <w:szCs w:val="22"/>
        </w:rPr>
        <w:t>size distribution, solubilisation</w:t>
      </w:r>
      <w:r w:rsidR="000412A1">
        <w:rPr>
          <w:sz w:val="22"/>
          <w:szCs w:val="22"/>
        </w:rPr>
        <w:t>,</w:t>
      </w:r>
      <w:r w:rsidR="007F7A4B" w:rsidRPr="000412A1">
        <w:rPr>
          <w:sz w:val="22"/>
          <w:szCs w:val="22"/>
        </w:rPr>
        <w:t xml:space="preserve"> and changes </w:t>
      </w:r>
      <w:r w:rsidR="00AE0D3C" w:rsidRPr="000412A1">
        <w:rPr>
          <w:sz w:val="22"/>
          <w:szCs w:val="22"/>
        </w:rPr>
        <w:t xml:space="preserve">in </w:t>
      </w:r>
      <w:r w:rsidR="007F7A4B" w:rsidRPr="000412A1">
        <w:rPr>
          <w:sz w:val="22"/>
          <w:szCs w:val="22"/>
        </w:rPr>
        <w:t xml:space="preserve">main functional groups </w:t>
      </w:r>
      <w:r w:rsidR="00902C1D" w:rsidRPr="000412A1">
        <w:rPr>
          <w:sz w:val="22"/>
          <w:szCs w:val="22"/>
        </w:rPr>
        <w:t>using</w:t>
      </w:r>
      <w:r w:rsidR="00AE0D3C" w:rsidRPr="000412A1">
        <w:rPr>
          <w:sz w:val="22"/>
          <w:szCs w:val="22"/>
        </w:rPr>
        <w:t xml:space="preserve"> </w:t>
      </w:r>
      <w:r w:rsidR="007F7A4B" w:rsidRPr="000412A1">
        <w:rPr>
          <w:sz w:val="22"/>
          <w:szCs w:val="22"/>
        </w:rPr>
        <w:t xml:space="preserve">FTIR analysis. </w:t>
      </w:r>
    </w:p>
    <w:p w14:paraId="3856B962" w14:textId="77777777" w:rsidR="003F2E61" w:rsidRPr="000412A1" w:rsidRDefault="003F2E61" w:rsidP="00E26A1C">
      <w:pPr>
        <w:tabs>
          <w:tab w:val="left" w:pos="426"/>
        </w:tabs>
        <w:spacing w:line="480" w:lineRule="auto"/>
        <w:rPr>
          <w:sz w:val="22"/>
          <w:szCs w:val="22"/>
        </w:rPr>
      </w:pPr>
    </w:p>
    <w:p w14:paraId="6BB7B0C0" w14:textId="6BAB7F08" w:rsidR="003F2E61" w:rsidRPr="000412A1" w:rsidRDefault="003F2E61" w:rsidP="00E26A1C">
      <w:pPr>
        <w:tabs>
          <w:tab w:val="left" w:pos="426"/>
        </w:tabs>
        <w:spacing w:line="480" w:lineRule="auto"/>
        <w:rPr>
          <w:b/>
          <w:sz w:val="22"/>
          <w:szCs w:val="22"/>
        </w:rPr>
      </w:pPr>
      <w:r w:rsidRPr="000412A1">
        <w:rPr>
          <w:b/>
          <w:sz w:val="22"/>
          <w:szCs w:val="22"/>
        </w:rPr>
        <w:t xml:space="preserve">2. Material and </w:t>
      </w:r>
      <w:r w:rsidR="000412A1">
        <w:rPr>
          <w:b/>
          <w:sz w:val="22"/>
          <w:szCs w:val="22"/>
        </w:rPr>
        <w:t>M</w:t>
      </w:r>
      <w:r w:rsidR="000412A1" w:rsidRPr="000412A1">
        <w:rPr>
          <w:b/>
          <w:sz w:val="22"/>
          <w:szCs w:val="22"/>
        </w:rPr>
        <w:t xml:space="preserve">ethods </w:t>
      </w:r>
    </w:p>
    <w:p w14:paraId="465D9A9E" w14:textId="74A35F5D" w:rsidR="003F2E61" w:rsidRPr="009A0A82" w:rsidRDefault="003F2E61" w:rsidP="00E26A1C">
      <w:pPr>
        <w:tabs>
          <w:tab w:val="left" w:pos="426"/>
        </w:tabs>
        <w:spacing w:line="480" w:lineRule="auto"/>
        <w:rPr>
          <w:bCs/>
          <w:i/>
          <w:iCs/>
          <w:sz w:val="22"/>
          <w:szCs w:val="22"/>
        </w:rPr>
      </w:pPr>
      <w:r w:rsidRPr="009A0A82">
        <w:rPr>
          <w:bCs/>
          <w:i/>
          <w:iCs/>
          <w:sz w:val="22"/>
          <w:szCs w:val="22"/>
        </w:rPr>
        <w:t>2.1. Electrochemical</w:t>
      </w:r>
      <w:r w:rsidR="001A1FE2">
        <w:rPr>
          <w:bCs/>
          <w:i/>
          <w:iCs/>
          <w:sz w:val="22"/>
          <w:szCs w:val="22"/>
        </w:rPr>
        <w:t xml:space="preserve"> </w:t>
      </w:r>
      <w:r w:rsidR="000412A1">
        <w:rPr>
          <w:bCs/>
          <w:i/>
          <w:iCs/>
          <w:sz w:val="22"/>
          <w:szCs w:val="22"/>
        </w:rPr>
        <w:t>O</w:t>
      </w:r>
      <w:r w:rsidRPr="009A0A82">
        <w:rPr>
          <w:bCs/>
          <w:i/>
          <w:iCs/>
          <w:sz w:val="22"/>
          <w:szCs w:val="22"/>
        </w:rPr>
        <w:t xml:space="preserve">xidation </w:t>
      </w:r>
      <w:r w:rsidR="000412A1">
        <w:rPr>
          <w:bCs/>
          <w:i/>
          <w:iCs/>
          <w:sz w:val="22"/>
          <w:szCs w:val="22"/>
        </w:rPr>
        <w:t>E</w:t>
      </w:r>
      <w:r w:rsidRPr="009A0A82">
        <w:rPr>
          <w:bCs/>
          <w:i/>
          <w:iCs/>
          <w:sz w:val="22"/>
          <w:szCs w:val="22"/>
        </w:rPr>
        <w:t>xperiments</w:t>
      </w:r>
    </w:p>
    <w:p w14:paraId="72ED8985" w14:textId="22EEBE0A" w:rsidR="00F127A0" w:rsidRPr="000412A1" w:rsidRDefault="00C315BE" w:rsidP="00ED2497">
      <w:pPr>
        <w:spacing w:before="240" w:after="220" w:line="480" w:lineRule="auto"/>
        <w:rPr>
          <w:sz w:val="22"/>
          <w:szCs w:val="22"/>
        </w:rPr>
      </w:pPr>
      <w:proofErr w:type="spellStart"/>
      <w:r w:rsidRPr="000412A1">
        <w:rPr>
          <w:sz w:val="22"/>
          <w:szCs w:val="22"/>
        </w:rPr>
        <w:lastRenderedPageBreak/>
        <w:t>Pretreatment</w:t>
      </w:r>
      <w:proofErr w:type="spellEnd"/>
      <w:r w:rsidRPr="000412A1">
        <w:rPr>
          <w:sz w:val="22"/>
          <w:szCs w:val="22"/>
        </w:rPr>
        <w:t xml:space="preserve"> experiments</w:t>
      </w:r>
      <w:r w:rsidR="008D5AD0" w:rsidRPr="000412A1">
        <w:rPr>
          <w:sz w:val="22"/>
          <w:szCs w:val="22"/>
        </w:rPr>
        <w:t xml:space="preserve"> </w:t>
      </w:r>
      <w:r w:rsidR="00017AB6" w:rsidRPr="000412A1">
        <w:rPr>
          <w:sz w:val="22"/>
          <w:szCs w:val="22"/>
        </w:rPr>
        <w:t xml:space="preserve">were </w:t>
      </w:r>
      <w:r w:rsidR="00A91F05" w:rsidRPr="000412A1">
        <w:rPr>
          <w:sz w:val="22"/>
          <w:szCs w:val="22"/>
        </w:rPr>
        <w:t>carried out</w:t>
      </w:r>
      <w:r w:rsidR="00017AB6" w:rsidRPr="000412A1">
        <w:rPr>
          <w:sz w:val="22"/>
          <w:szCs w:val="22"/>
        </w:rPr>
        <w:t xml:space="preserve"> using a 150 mL chamber. B</w:t>
      </w:r>
      <w:r w:rsidR="0085205B">
        <w:rPr>
          <w:sz w:val="22"/>
          <w:szCs w:val="22"/>
        </w:rPr>
        <w:t>D</w:t>
      </w:r>
      <w:r w:rsidR="00017AB6" w:rsidRPr="000412A1">
        <w:rPr>
          <w:sz w:val="22"/>
          <w:szCs w:val="22"/>
        </w:rPr>
        <w:t>D electrodes were used as anodes</w:t>
      </w:r>
      <w:r w:rsidR="0085205B">
        <w:rPr>
          <w:sz w:val="22"/>
          <w:szCs w:val="22"/>
        </w:rPr>
        <w:t>,</w:t>
      </w:r>
      <w:r w:rsidR="00017AB6" w:rsidRPr="000412A1">
        <w:rPr>
          <w:sz w:val="22"/>
          <w:szCs w:val="22"/>
        </w:rPr>
        <w:t xml:space="preserve"> and stainless steel was used as </w:t>
      </w:r>
      <w:r w:rsidR="002651F6" w:rsidRPr="000412A1">
        <w:rPr>
          <w:sz w:val="22"/>
          <w:szCs w:val="22"/>
        </w:rPr>
        <w:t xml:space="preserve">the </w:t>
      </w:r>
      <w:r w:rsidR="00017AB6" w:rsidRPr="000412A1">
        <w:rPr>
          <w:sz w:val="22"/>
          <w:szCs w:val="22"/>
        </w:rPr>
        <w:t>cathode</w:t>
      </w:r>
      <w:r w:rsidR="00FD070F" w:rsidRPr="000412A1">
        <w:rPr>
          <w:sz w:val="22"/>
          <w:szCs w:val="22"/>
        </w:rPr>
        <w:t xml:space="preserve"> with a distance of 2 mm</w:t>
      </w:r>
      <w:r w:rsidR="0085205B">
        <w:rPr>
          <w:sz w:val="22"/>
          <w:szCs w:val="22"/>
        </w:rPr>
        <w:t xml:space="preserve"> between them.</w:t>
      </w:r>
      <w:r w:rsidR="00F14E74" w:rsidRPr="000412A1">
        <w:rPr>
          <w:sz w:val="22"/>
          <w:szCs w:val="22"/>
        </w:rPr>
        <w:t xml:space="preserve"> </w:t>
      </w:r>
      <w:r w:rsidR="0085205B">
        <w:rPr>
          <w:sz w:val="22"/>
          <w:szCs w:val="22"/>
        </w:rPr>
        <w:t>E</w:t>
      </w:r>
      <w:r w:rsidR="0085205B" w:rsidRPr="000412A1">
        <w:rPr>
          <w:sz w:val="22"/>
          <w:szCs w:val="22"/>
        </w:rPr>
        <w:t xml:space="preserve">ach </w:t>
      </w:r>
      <w:r w:rsidR="00F14E74" w:rsidRPr="000412A1">
        <w:rPr>
          <w:sz w:val="22"/>
          <w:szCs w:val="22"/>
        </w:rPr>
        <w:t>electr</w:t>
      </w:r>
      <w:r w:rsidR="00361A45" w:rsidRPr="000412A1">
        <w:rPr>
          <w:sz w:val="22"/>
          <w:szCs w:val="22"/>
        </w:rPr>
        <w:t xml:space="preserve">ode </w:t>
      </w:r>
      <w:r w:rsidR="0085205B">
        <w:rPr>
          <w:sz w:val="22"/>
          <w:szCs w:val="22"/>
        </w:rPr>
        <w:t>was</w:t>
      </w:r>
      <w:r w:rsidR="0085205B" w:rsidRPr="000412A1">
        <w:rPr>
          <w:sz w:val="22"/>
          <w:szCs w:val="22"/>
        </w:rPr>
        <w:t xml:space="preserve"> </w:t>
      </w:r>
      <w:r w:rsidR="00FD070F" w:rsidRPr="000412A1">
        <w:rPr>
          <w:sz w:val="22"/>
          <w:szCs w:val="22"/>
        </w:rPr>
        <w:t xml:space="preserve">a mesh, </w:t>
      </w:r>
      <w:r w:rsidR="00361A45" w:rsidRPr="000412A1">
        <w:rPr>
          <w:sz w:val="22"/>
          <w:szCs w:val="22"/>
        </w:rPr>
        <w:t>rectangular in shape (10 × 5</w:t>
      </w:r>
      <w:r w:rsidR="00F14E74" w:rsidRPr="000412A1">
        <w:rPr>
          <w:sz w:val="22"/>
          <w:szCs w:val="22"/>
        </w:rPr>
        <w:t xml:space="preserve"> mm</w:t>
      </w:r>
      <w:r w:rsidR="00FD070F" w:rsidRPr="000412A1">
        <w:rPr>
          <w:sz w:val="22"/>
          <w:szCs w:val="22"/>
        </w:rPr>
        <w:t>) with an effective area of 42 cm</w:t>
      </w:r>
      <w:r w:rsidR="00FD070F" w:rsidRPr="000412A1">
        <w:rPr>
          <w:sz w:val="22"/>
          <w:szCs w:val="22"/>
          <w:vertAlign w:val="superscript"/>
        </w:rPr>
        <w:t>2</w:t>
      </w:r>
      <w:r w:rsidR="00017AB6" w:rsidRPr="000412A1">
        <w:rPr>
          <w:sz w:val="22"/>
          <w:szCs w:val="22"/>
        </w:rPr>
        <w:t xml:space="preserve">. </w:t>
      </w:r>
      <w:r w:rsidR="003D2312" w:rsidRPr="000412A1">
        <w:rPr>
          <w:sz w:val="22"/>
          <w:szCs w:val="22"/>
        </w:rPr>
        <w:t>A current density of 6.6 mA cm</w:t>
      </w:r>
      <w:r w:rsidR="00C02204" w:rsidRPr="000412A1">
        <w:rPr>
          <w:sz w:val="22"/>
          <w:szCs w:val="22"/>
          <w:vertAlign w:val="superscript"/>
        </w:rPr>
        <w:t>–</w:t>
      </w:r>
      <w:r w:rsidR="003D2312" w:rsidRPr="000412A1">
        <w:rPr>
          <w:sz w:val="22"/>
          <w:szCs w:val="22"/>
          <w:vertAlign w:val="superscript"/>
        </w:rPr>
        <w:t>2</w:t>
      </w:r>
      <w:r w:rsidR="003D2312" w:rsidRPr="000412A1">
        <w:rPr>
          <w:sz w:val="22"/>
          <w:szCs w:val="22"/>
        </w:rPr>
        <w:t xml:space="preserve"> (5 V for </w:t>
      </w:r>
      <w:r w:rsidR="003B26BE" w:rsidRPr="000412A1">
        <w:rPr>
          <w:sz w:val="22"/>
          <w:szCs w:val="22"/>
        </w:rPr>
        <w:t>60</w:t>
      </w:r>
      <w:r w:rsidR="0085205B">
        <w:rPr>
          <w:sz w:val="22"/>
          <w:szCs w:val="22"/>
        </w:rPr>
        <w:t xml:space="preserve"> </w:t>
      </w:r>
      <w:r w:rsidR="003B26BE" w:rsidRPr="000412A1">
        <w:rPr>
          <w:sz w:val="22"/>
          <w:szCs w:val="22"/>
        </w:rPr>
        <w:t>min</w:t>
      </w:r>
      <w:r w:rsidR="003D2312" w:rsidRPr="000412A1">
        <w:rPr>
          <w:sz w:val="22"/>
          <w:szCs w:val="22"/>
        </w:rPr>
        <w:t xml:space="preserve">) was </w:t>
      </w:r>
      <w:r w:rsidR="003A12B2" w:rsidRPr="000412A1">
        <w:rPr>
          <w:sz w:val="22"/>
          <w:szCs w:val="22"/>
        </w:rPr>
        <w:t>applied</w:t>
      </w:r>
      <w:r w:rsidR="003D2312" w:rsidRPr="000412A1">
        <w:rPr>
          <w:sz w:val="22"/>
          <w:szCs w:val="22"/>
        </w:rPr>
        <w:t xml:space="preserve"> </w:t>
      </w:r>
      <w:r w:rsidR="003A12B2" w:rsidRPr="000412A1">
        <w:rPr>
          <w:sz w:val="22"/>
          <w:szCs w:val="22"/>
        </w:rPr>
        <w:t>in</w:t>
      </w:r>
      <w:r w:rsidR="003D2312" w:rsidRPr="000412A1">
        <w:rPr>
          <w:sz w:val="22"/>
          <w:szCs w:val="22"/>
        </w:rPr>
        <w:t xml:space="preserve"> all </w:t>
      </w:r>
      <w:proofErr w:type="spellStart"/>
      <w:r w:rsidR="003A12B2" w:rsidRPr="000412A1">
        <w:rPr>
          <w:sz w:val="22"/>
          <w:szCs w:val="22"/>
        </w:rPr>
        <w:t>pretreatments</w:t>
      </w:r>
      <w:proofErr w:type="spellEnd"/>
      <w:r w:rsidR="00017AB6" w:rsidRPr="000412A1">
        <w:rPr>
          <w:sz w:val="22"/>
          <w:szCs w:val="22"/>
        </w:rPr>
        <w:t xml:space="preserve">. </w:t>
      </w:r>
      <w:r w:rsidR="00361A45" w:rsidRPr="000412A1">
        <w:rPr>
          <w:sz w:val="22"/>
          <w:szCs w:val="22"/>
        </w:rPr>
        <w:t xml:space="preserve">This current density </w:t>
      </w:r>
      <w:r w:rsidR="00F32982" w:rsidRPr="000412A1">
        <w:rPr>
          <w:sz w:val="22"/>
          <w:szCs w:val="22"/>
        </w:rPr>
        <w:t>was chosen on</w:t>
      </w:r>
      <w:r w:rsidR="00C02204" w:rsidRPr="000412A1">
        <w:rPr>
          <w:sz w:val="22"/>
          <w:szCs w:val="22"/>
        </w:rPr>
        <w:t xml:space="preserve"> the basis of</w:t>
      </w:r>
      <w:r w:rsidR="00F32982" w:rsidRPr="000412A1">
        <w:rPr>
          <w:sz w:val="22"/>
          <w:szCs w:val="22"/>
        </w:rPr>
        <w:t xml:space="preserve"> results from previous experiments (Martinez et al.</w:t>
      </w:r>
      <w:r w:rsidR="00C02204" w:rsidRPr="000412A1">
        <w:rPr>
          <w:sz w:val="22"/>
          <w:szCs w:val="22"/>
        </w:rPr>
        <w:t>,</w:t>
      </w:r>
      <w:r w:rsidR="00F32982" w:rsidRPr="000412A1">
        <w:rPr>
          <w:sz w:val="22"/>
          <w:szCs w:val="22"/>
        </w:rPr>
        <w:t xml:space="preserve"> 2018) and </w:t>
      </w:r>
      <w:r w:rsidR="00B800B9" w:rsidRPr="000412A1">
        <w:rPr>
          <w:sz w:val="22"/>
          <w:szCs w:val="22"/>
        </w:rPr>
        <w:t>previous</w:t>
      </w:r>
      <w:r w:rsidR="00F32982" w:rsidRPr="000412A1">
        <w:rPr>
          <w:sz w:val="22"/>
          <w:szCs w:val="22"/>
        </w:rPr>
        <w:t xml:space="preserve"> studies </w:t>
      </w:r>
      <w:r w:rsidR="00B800B9" w:rsidRPr="000412A1">
        <w:rPr>
          <w:sz w:val="22"/>
          <w:szCs w:val="22"/>
        </w:rPr>
        <w:t xml:space="preserve">performed in the laboratory to adjust treatment conditions to sludge characteristics </w:t>
      </w:r>
      <w:r w:rsidR="00F32982" w:rsidRPr="000412A1">
        <w:rPr>
          <w:sz w:val="22"/>
          <w:szCs w:val="22"/>
        </w:rPr>
        <w:t>(data not show</w:t>
      </w:r>
      <w:r w:rsidR="00B800B9" w:rsidRPr="000412A1">
        <w:rPr>
          <w:sz w:val="22"/>
          <w:szCs w:val="22"/>
        </w:rPr>
        <w:t>n</w:t>
      </w:r>
      <w:r w:rsidR="00F32982" w:rsidRPr="000412A1">
        <w:rPr>
          <w:sz w:val="22"/>
          <w:szCs w:val="22"/>
        </w:rPr>
        <w:t>).</w:t>
      </w:r>
      <w:r w:rsidR="00361A45" w:rsidRPr="000412A1">
        <w:rPr>
          <w:sz w:val="22"/>
          <w:szCs w:val="22"/>
        </w:rPr>
        <w:t xml:space="preserve"> </w:t>
      </w:r>
      <w:r w:rsidR="009F131E" w:rsidRPr="000412A1">
        <w:rPr>
          <w:sz w:val="22"/>
          <w:szCs w:val="22"/>
        </w:rPr>
        <w:t xml:space="preserve">Post-treatment </w:t>
      </w:r>
      <w:r w:rsidR="00A91F05" w:rsidRPr="000412A1">
        <w:rPr>
          <w:sz w:val="22"/>
          <w:szCs w:val="22"/>
        </w:rPr>
        <w:t>tests</w:t>
      </w:r>
      <w:r w:rsidR="009F131E" w:rsidRPr="000412A1">
        <w:rPr>
          <w:sz w:val="22"/>
          <w:szCs w:val="22"/>
        </w:rPr>
        <w:t xml:space="preserve"> </w:t>
      </w:r>
      <w:r w:rsidR="00A91F05" w:rsidRPr="000412A1">
        <w:rPr>
          <w:sz w:val="22"/>
          <w:szCs w:val="22"/>
        </w:rPr>
        <w:t xml:space="preserve">were </w:t>
      </w:r>
      <w:r w:rsidR="00854A3B" w:rsidRPr="000412A1">
        <w:rPr>
          <w:sz w:val="22"/>
          <w:szCs w:val="22"/>
        </w:rPr>
        <w:t>performed</w:t>
      </w:r>
      <w:r w:rsidR="00A91F05" w:rsidRPr="000412A1">
        <w:rPr>
          <w:sz w:val="22"/>
          <w:szCs w:val="22"/>
        </w:rPr>
        <w:t xml:space="preserve"> </w:t>
      </w:r>
      <w:r w:rsidR="00B41BC4" w:rsidRPr="000412A1">
        <w:rPr>
          <w:sz w:val="22"/>
          <w:szCs w:val="22"/>
        </w:rPr>
        <w:t>by employing</w:t>
      </w:r>
      <w:r w:rsidR="00A91F05" w:rsidRPr="000412A1">
        <w:rPr>
          <w:sz w:val="22"/>
          <w:szCs w:val="22"/>
        </w:rPr>
        <w:t xml:space="preserve"> </w:t>
      </w:r>
      <w:r w:rsidR="003D2312" w:rsidRPr="000412A1">
        <w:rPr>
          <w:sz w:val="22"/>
          <w:szCs w:val="22"/>
        </w:rPr>
        <w:t xml:space="preserve">a </w:t>
      </w:r>
      <w:r w:rsidR="009F131E" w:rsidRPr="000412A1">
        <w:rPr>
          <w:sz w:val="22"/>
          <w:szCs w:val="22"/>
        </w:rPr>
        <w:t xml:space="preserve">75 mL </w:t>
      </w:r>
      <w:r w:rsidR="003D2312" w:rsidRPr="000412A1">
        <w:rPr>
          <w:sz w:val="22"/>
          <w:szCs w:val="22"/>
        </w:rPr>
        <w:t>flow cell</w:t>
      </w:r>
      <w:r w:rsidR="00B41BC4" w:rsidRPr="000412A1">
        <w:rPr>
          <w:sz w:val="22"/>
          <w:szCs w:val="22"/>
        </w:rPr>
        <w:t xml:space="preserve"> </w:t>
      </w:r>
      <w:r w:rsidR="003D2312" w:rsidRPr="000412A1">
        <w:rPr>
          <w:sz w:val="22"/>
          <w:szCs w:val="22"/>
        </w:rPr>
        <w:t>(</w:t>
      </w:r>
      <w:r w:rsidR="0085205B">
        <w:rPr>
          <w:sz w:val="22"/>
          <w:szCs w:val="22"/>
        </w:rPr>
        <w:t>P</w:t>
      </w:r>
      <w:commentRangeStart w:id="1"/>
      <w:r w:rsidR="003D2312" w:rsidRPr="000412A1">
        <w:rPr>
          <w:sz w:val="22"/>
          <w:szCs w:val="22"/>
        </w:rPr>
        <w:t>ro</w:t>
      </w:r>
      <w:r w:rsidR="0085205B">
        <w:rPr>
          <w:sz w:val="22"/>
          <w:szCs w:val="22"/>
        </w:rPr>
        <w:t>-A</w:t>
      </w:r>
      <w:r w:rsidR="003D2312" w:rsidRPr="000412A1">
        <w:rPr>
          <w:sz w:val="22"/>
          <w:szCs w:val="22"/>
        </w:rPr>
        <w:t xml:space="preserve">qua </w:t>
      </w:r>
      <w:r w:rsidR="0085205B">
        <w:rPr>
          <w:sz w:val="22"/>
          <w:szCs w:val="22"/>
        </w:rPr>
        <w:t>D</w:t>
      </w:r>
      <w:r w:rsidR="0085205B" w:rsidRPr="000412A1">
        <w:rPr>
          <w:sz w:val="22"/>
          <w:szCs w:val="22"/>
        </w:rPr>
        <w:t xml:space="preserve">iamond </w:t>
      </w:r>
      <w:r w:rsidR="0085205B">
        <w:rPr>
          <w:sz w:val="22"/>
          <w:szCs w:val="22"/>
        </w:rPr>
        <w:t>E</w:t>
      </w:r>
      <w:r w:rsidR="003D2312" w:rsidRPr="000412A1">
        <w:rPr>
          <w:sz w:val="22"/>
          <w:szCs w:val="22"/>
        </w:rPr>
        <w:t xml:space="preserve">lectrode </w:t>
      </w:r>
      <w:r w:rsidR="0085205B">
        <w:rPr>
          <w:sz w:val="22"/>
          <w:szCs w:val="22"/>
        </w:rPr>
        <w:t>P</w:t>
      </w:r>
      <w:r w:rsidR="003D2312" w:rsidRPr="000412A1">
        <w:rPr>
          <w:sz w:val="22"/>
          <w:szCs w:val="22"/>
        </w:rPr>
        <w:t xml:space="preserve">roduction </w:t>
      </w:r>
      <w:commentRangeEnd w:id="1"/>
      <w:r w:rsidR="0085205B">
        <w:rPr>
          <w:rStyle w:val="Refdecomentario"/>
        </w:rPr>
        <w:commentReference w:id="1"/>
      </w:r>
      <w:r w:rsidR="003D2312" w:rsidRPr="000412A1">
        <w:rPr>
          <w:sz w:val="22"/>
          <w:szCs w:val="22"/>
        </w:rPr>
        <w:t>Ltd, GmbH)</w:t>
      </w:r>
      <w:r w:rsidR="00B41BC4" w:rsidRPr="000412A1">
        <w:rPr>
          <w:sz w:val="22"/>
          <w:szCs w:val="22"/>
        </w:rPr>
        <w:t>. This cell contain</w:t>
      </w:r>
      <w:r w:rsidR="0085205B">
        <w:rPr>
          <w:sz w:val="22"/>
          <w:szCs w:val="22"/>
        </w:rPr>
        <w:t>ed a</w:t>
      </w:r>
      <w:r w:rsidR="00B41BC4" w:rsidRPr="000412A1">
        <w:rPr>
          <w:sz w:val="22"/>
          <w:szCs w:val="22"/>
        </w:rPr>
        <w:t xml:space="preserve"> BDD </w:t>
      </w:r>
      <w:r w:rsidR="000276D1" w:rsidRPr="000412A1">
        <w:rPr>
          <w:sz w:val="22"/>
          <w:szCs w:val="22"/>
        </w:rPr>
        <w:t>anode and cathode</w:t>
      </w:r>
      <w:r w:rsidR="00361A45" w:rsidRPr="000412A1">
        <w:rPr>
          <w:sz w:val="22"/>
          <w:szCs w:val="22"/>
        </w:rPr>
        <w:t xml:space="preserve"> </w:t>
      </w:r>
      <w:r w:rsidR="00FD070F" w:rsidRPr="000412A1">
        <w:rPr>
          <w:sz w:val="22"/>
          <w:szCs w:val="22"/>
        </w:rPr>
        <w:t>with an effective area of 42 cm</w:t>
      </w:r>
      <w:r w:rsidR="00FD070F" w:rsidRPr="000412A1">
        <w:rPr>
          <w:sz w:val="22"/>
          <w:szCs w:val="22"/>
          <w:vertAlign w:val="superscript"/>
        </w:rPr>
        <w:t>2</w:t>
      </w:r>
      <w:r w:rsidR="00361A45" w:rsidRPr="000412A1">
        <w:rPr>
          <w:sz w:val="22"/>
          <w:szCs w:val="22"/>
        </w:rPr>
        <w:t xml:space="preserve"> and</w:t>
      </w:r>
      <w:r w:rsidR="0089511A" w:rsidRPr="000412A1">
        <w:rPr>
          <w:sz w:val="22"/>
          <w:szCs w:val="22"/>
        </w:rPr>
        <w:t xml:space="preserve"> </w:t>
      </w:r>
      <w:r w:rsidR="00361A45" w:rsidRPr="000412A1">
        <w:rPr>
          <w:sz w:val="22"/>
          <w:szCs w:val="22"/>
        </w:rPr>
        <w:t xml:space="preserve">2 mm distance </w:t>
      </w:r>
      <w:r w:rsidR="00A630DD" w:rsidRPr="000412A1">
        <w:rPr>
          <w:sz w:val="22"/>
          <w:szCs w:val="22"/>
        </w:rPr>
        <w:t xml:space="preserve">between </w:t>
      </w:r>
      <w:r w:rsidR="00361A45" w:rsidRPr="000412A1">
        <w:rPr>
          <w:sz w:val="22"/>
          <w:szCs w:val="22"/>
        </w:rPr>
        <w:t>electrodes</w:t>
      </w:r>
      <w:r w:rsidR="00A91F05" w:rsidRPr="000412A1">
        <w:rPr>
          <w:sz w:val="22"/>
          <w:szCs w:val="22"/>
        </w:rPr>
        <w:t>.</w:t>
      </w:r>
      <w:r w:rsidR="0047426C" w:rsidRPr="000412A1">
        <w:rPr>
          <w:sz w:val="22"/>
          <w:szCs w:val="22"/>
        </w:rPr>
        <w:t xml:space="preserve"> This cell was used in this experiment setup because</w:t>
      </w:r>
      <w:r w:rsidR="0089511A" w:rsidRPr="000412A1">
        <w:rPr>
          <w:sz w:val="22"/>
          <w:szCs w:val="22"/>
        </w:rPr>
        <w:t xml:space="preserve"> of</w:t>
      </w:r>
      <w:r w:rsidR="0047426C" w:rsidRPr="000412A1">
        <w:rPr>
          <w:sz w:val="22"/>
          <w:szCs w:val="22"/>
        </w:rPr>
        <w:t xml:space="preserve"> the low evolution of gases </w:t>
      </w:r>
      <w:r w:rsidR="000B187C" w:rsidRPr="000412A1">
        <w:rPr>
          <w:sz w:val="22"/>
          <w:szCs w:val="22"/>
        </w:rPr>
        <w:t xml:space="preserve">from </w:t>
      </w:r>
      <w:r w:rsidR="000C38E6" w:rsidRPr="000412A1">
        <w:rPr>
          <w:sz w:val="22"/>
          <w:szCs w:val="22"/>
        </w:rPr>
        <w:t>the bulk</w:t>
      </w:r>
      <w:r w:rsidR="000B187C" w:rsidRPr="000412A1">
        <w:rPr>
          <w:sz w:val="22"/>
          <w:szCs w:val="22"/>
        </w:rPr>
        <w:t xml:space="preserve"> sludge</w:t>
      </w:r>
      <w:r w:rsidR="000C38E6" w:rsidRPr="000412A1">
        <w:rPr>
          <w:sz w:val="22"/>
          <w:szCs w:val="22"/>
        </w:rPr>
        <w:t xml:space="preserve">, </w:t>
      </w:r>
      <w:r w:rsidR="0089511A" w:rsidRPr="000412A1">
        <w:rPr>
          <w:sz w:val="22"/>
          <w:szCs w:val="22"/>
        </w:rPr>
        <w:t xml:space="preserve">which </w:t>
      </w:r>
      <w:r w:rsidR="0047426C" w:rsidRPr="000412A1">
        <w:rPr>
          <w:sz w:val="22"/>
          <w:szCs w:val="22"/>
        </w:rPr>
        <w:t>allowed good performance</w:t>
      </w:r>
      <w:r w:rsidR="000C38E6" w:rsidRPr="000412A1">
        <w:rPr>
          <w:sz w:val="22"/>
          <w:szCs w:val="22"/>
        </w:rPr>
        <w:t xml:space="preserve"> of the cell</w:t>
      </w:r>
      <w:r w:rsidR="0047426C" w:rsidRPr="000412A1">
        <w:rPr>
          <w:sz w:val="22"/>
          <w:szCs w:val="22"/>
        </w:rPr>
        <w:t xml:space="preserve">. This was not the case of </w:t>
      </w:r>
      <w:r w:rsidR="0085205B">
        <w:rPr>
          <w:sz w:val="22"/>
          <w:szCs w:val="22"/>
        </w:rPr>
        <w:t xml:space="preserve">the </w:t>
      </w:r>
      <w:proofErr w:type="spellStart"/>
      <w:r w:rsidR="0047426C" w:rsidRPr="000412A1">
        <w:rPr>
          <w:sz w:val="22"/>
          <w:szCs w:val="22"/>
        </w:rPr>
        <w:t>pretreatment</w:t>
      </w:r>
      <w:proofErr w:type="spellEnd"/>
      <w:r w:rsidR="0047426C" w:rsidRPr="000412A1">
        <w:rPr>
          <w:sz w:val="22"/>
          <w:szCs w:val="22"/>
        </w:rPr>
        <w:t xml:space="preserve"> experiments</w:t>
      </w:r>
      <w:r w:rsidR="0085205B">
        <w:rPr>
          <w:sz w:val="22"/>
          <w:szCs w:val="22"/>
        </w:rPr>
        <w:t>,</w:t>
      </w:r>
      <w:r w:rsidR="0047426C" w:rsidRPr="000412A1">
        <w:rPr>
          <w:sz w:val="22"/>
          <w:szCs w:val="22"/>
        </w:rPr>
        <w:t xml:space="preserve"> where high degradability of raw sludge caused</w:t>
      </w:r>
      <w:r w:rsidR="000C38E6" w:rsidRPr="000412A1">
        <w:rPr>
          <w:sz w:val="22"/>
          <w:szCs w:val="22"/>
        </w:rPr>
        <w:t xml:space="preserve"> excessive</w:t>
      </w:r>
      <w:r w:rsidR="0047426C" w:rsidRPr="000412A1">
        <w:rPr>
          <w:sz w:val="22"/>
          <w:szCs w:val="22"/>
        </w:rPr>
        <w:t xml:space="preserve"> foaming associated with gas evolution</w:t>
      </w:r>
      <w:r w:rsidR="000C38E6" w:rsidRPr="000412A1">
        <w:rPr>
          <w:sz w:val="22"/>
          <w:szCs w:val="22"/>
        </w:rPr>
        <w:t>,</w:t>
      </w:r>
      <w:r w:rsidR="0047426C" w:rsidRPr="000412A1">
        <w:rPr>
          <w:sz w:val="22"/>
          <w:szCs w:val="22"/>
        </w:rPr>
        <w:t xml:space="preserve"> thus making </w:t>
      </w:r>
      <w:r w:rsidR="0052732F" w:rsidRPr="000412A1">
        <w:rPr>
          <w:sz w:val="22"/>
          <w:szCs w:val="22"/>
        </w:rPr>
        <w:t xml:space="preserve">its </w:t>
      </w:r>
      <w:r w:rsidR="0047426C" w:rsidRPr="000412A1">
        <w:rPr>
          <w:sz w:val="22"/>
          <w:szCs w:val="22"/>
        </w:rPr>
        <w:t>use</w:t>
      </w:r>
      <w:r w:rsidR="0085205B" w:rsidRPr="0085205B">
        <w:rPr>
          <w:sz w:val="22"/>
          <w:szCs w:val="22"/>
        </w:rPr>
        <w:t xml:space="preserve"> </w:t>
      </w:r>
      <w:r w:rsidR="0085205B" w:rsidRPr="000412A1">
        <w:rPr>
          <w:sz w:val="22"/>
          <w:szCs w:val="22"/>
        </w:rPr>
        <w:t>unfeasible</w:t>
      </w:r>
      <w:r w:rsidR="0047426C" w:rsidRPr="000412A1">
        <w:rPr>
          <w:sz w:val="22"/>
          <w:szCs w:val="22"/>
        </w:rPr>
        <w:t>.</w:t>
      </w:r>
      <w:r w:rsidR="00A91F05" w:rsidRPr="000412A1">
        <w:rPr>
          <w:sz w:val="22"/>
          <w:szCs w:val="22"/>
        </w:rPr>
        <w:t xml:space="preserve"> </w:t>
      </w:r>
      <w:r w:rsidR="00B41BC4" w:rsidRPr="000412A1">
        <w:rPr>
          <w:sz w:val="22"/>
          <w:szCs w:val="22"/>
        </w:rPr>
        <w:t xml:space="preserve">Current </w:t>
      </w:r>
      <w:r w:rsidR="0086396D" w:rsidRPr="000412A1">
        <w:rPr>
          <w:sz w:val="22"/>
          <w:szCs w:val="22"/>
        </w:rPr>
        <w:t xml:space="preserve">density </w:t>
      </w:r>
      <w:r w:rsidR="00B41BC4" w:rsidRPr="000412A1">
        <w:rPr>
          <w:sz w:val="22"/>
          <w:szCs w:val="22"/>
        </w:rPr>
        <w:t>input</w:t>
      </w:r>
      <w:r w:rsidR="0086396D" w:rsidRPr="000412A1">
        <w:rPr>
          <w:sz w:val="22"/>
          <w:szCs w:val="22"/>
        </w:rPr>
        <w:t>s</w:t>
      </w:r>
      <w:r w:rsidR="00B41BC4" w:rsidRPr="000412A1">
        <w:rPr>
          <w:sz w:val="22"/>
          <w:szCs w:val="22"/>
        </w:rPr>
        <w:t xml:space="preserve"> were </w:t>
      </w:r>
      <w:r w:rsidR="0086396D" w:rsidRPr="000412A1">
        <w:rPr>
          <w:sz w:val="22"/>
          <w:szCs w:val="22"/>
        </w:rPr>
        <w:t xml:space="preserve">in the range </w:t>
      </w:r>
      <w:r w:rsidR="0085205B">
        <w:rPr>
          <w:sz w:val="22"/>
          <w:szCs w:val="22"/>
        </w:rPr>
        <w:t>from</w:t>
      </w:r>
      <w:r w:rsidR="0085205B" w:rsidRPr="000412A1">
        <w:rPr>
          <w:sz w:val="22"/>
          <w:szCs w:val="22"/>
        </w:rPr>
        <w:t xml:space="preserve"> </w:t>
      </w:r>
      <w:r w:rsidR="00331BB6" w:rsidRPr="000412A1">
        <w:rPr>
          <w:sz w:val="22"/>
          <w:szCs w:val="22"/>
        </w:rPr>
        <w:t>5.5</w:t>
      </w:r>
      <w:r w:rsidR="00886A35" w:rsidRPr="000412A1">
        <w:rPr>
          <w:sz w:val="22"/>
          <w:szCs w:val="22"/>
        </w:rPr>
        <w:t xml:space="preserve"> </w:t>
      </w:r>
      <w:r w:rsidR="0086396D" w:rsidRPr="000412A1">
        <w:rPr>
          <w:sz w:val="22"/>
          <w:szCs w:val="22"/>
        </w:rPr>
        <w:t xml:space="preserve">to </w:t>
      </w:r>
      <w:r w:rsidR="00B41BC4" w:rsidRPr="000412A1">
        <w:rPr>
          <w:sz w:val="22"/>
          <w:szCs w:val="22"/>
        </w:rPr>
        <w:t>18.8 mA cm</w:t>
      </w:r>
      <w:r w:rsidR="00C02204" w:rsidRPr="000412A1">
        <w:rPr>
          <w:sz w:val="22"/>
          <w:szCs w:val="22"/>
          <w:vertAlign w:val="superscript"/>
        </w:rPr>
        <w:t>–</w:t>
      </w:r>
      <w:r w:rsidR="00B41BC4" w:rsidRPr="000412A1">
        <w:rPr>
          <w:sz w:val="22"/>
          <w:szCs w:val="22"/>
          <w:vertAlign w:val="superscript"/>
        </w:rPr>
        <w:t>2</w:t>
      </w:r>
      <w:r w:rsidR="005250FC" w:rsidRPr="000412A1">
        <w:rPr>
          <w:sz w:val="22"/>
          <w:szCs w:val="22"/>
          <w:vertAlign w:val="superscript"/>
        </w:rPr>
        <w:t xml:space="preserve"> </w:t>
      </w:r>
      <w:r w:rsidR="005250FC" w:rsidRPr="000412A1">
        <w:rPr>
          <w:sz w:val="22"/>
          <w:szCs w:val="22"/>
        </w:rPr>
        <w:t>(15</w:t>
      </w:r>
      <w:r w:rsidR="0085205B">
        <w:rPr>
          <w:sz w:val="22"/>
          <w:szCs w:val="22"/>
        </w:rPr>
        <w:t>–</w:t>
      </w:r>
      <w:r w:rsidR="005250FC" w:rsidRPr="000412A1">
        <w:rPr>
          <w:sz w:val="22"/>
          <w:szCs w:val="22"/>
        </w:rPr>
        <w:t>25</w:t>
      </w:r>
      <w:r w:rsidR="00886A35" w:rsidRPr="000412A1">
        <w:rPr>
          <w:sz w:val="22"/>
          <w:szCs w:val="22"/>
        </w:rPr>
        <w:t xml:space="preserve"> </w:t>
      </w:r>
      <w:r w:rsidR="005250FC" w:rsidRPr="000412A1">
        <w:rPr>
          <w:sz w:val="22"/>
          <w:szCs w:val="22"/>
        </w:rPr>
        <w:t>V for</w:t>
      </w:r>
      <w:r w:rsidR="00886A35" w:rsidRPr="000412A1">
        <w:rPr>
          <w:sz w:val="22"/>
          <w:szCs w:val="22"/>
        </w:rPr>
        <w:t xml:space="preserve"> a treatment time ranging from</w:t>
      </w:r>
      <w:r w:rsidR="005250FC" w:rsidRPr="000412A1">
        <w:rPr>
          <w:sz w:val="22"/>
          <w:szCs w:val="22"/>
        </w:rPr>
        <w:t xml:space="preserve"> 5 </w:t>
      </w:r>
      <w:r w:rsidR="00886A35" w:rsidRPr="000412A1">
        <w:rPr>
          <w:sz w:val="22"/>
          <w:szCs w:val="22"/>
        </w:rPr>
        <w:t xml:space="preserve">to </w:t>
      </w:r>
      <w:r w:rsidR="003B26BE" w:rsidRPr="000412A1">
        <w:rPr>
          <w:sz w:val="22"/>
          <w:szCs w:val="22"/>
        </w:rPr>
        <w:t>60</w:t>
      </w:r>
      <w:r w:rsidR="00E05A7B" w:rsidRPr="000412A1">
        <w:rPr>
          <w:sz w:val="22"/>
          <w:szCs w:val="22"/>
        </w:rPr>
        <w:t xml:space="preserve"> </w:t>
      </w:r>
      <w:r w:rsidR="003B26BE" w:rsidRPr="000412A1">
        <w:rPr>
          <w:sz w:val="22"/>
          <w:szCs w:val="22"/>
        </w:rPr>
        <w:t>min</w:t>
      </w:r>
      <w:r w:rsidR="005250FC" w:rsidRPr="000412A1">
        <w:rPr>
          <w:sz w:val="22"/>
          <w:szCs w:val="22"/>
        </w:rPr>
        <w:t>)</w:t>
      </w:r>
      <w:r w:rsidR="00B41BC4" w:rsidRPr="000412A1">
        <w:rPr>
          <w:sz w:val="22"/>
          <w:szCs w:val="22"/>
        </w:rPr>
        <w:t xml:space="preserve">. </w:t>
      </w:r>
      <w:r w:rsidR="0085205B">
        <w:rPr>
          <w:sz w:val="22"/>
          <w:szCs w:val="22"/>
        </w:rPr>
        <w:t>E</w:t>
      </w:r>
      <w:r w:rsidRPr="000412A1">
        <w:rPr>
          <w:sz w:val="22"/>
          <w:szCs w:val="22"/>
        </w:rPr>
        <w:t>xperiments</w:t>
      </w:r>
      <w:r w:rsidR="009F131E" w:rsidRPr="000412A1">
        <w:rPr>
          <w:sz w:val="22"/>
          <w:szCs w:val="22"/>
        </w:rPr>
        <w:t xml:space="preserve"> were </w:t>
      </w:r>
      <w:r w:rsidR="00A91F05" w:rsidRPr="000412A1">
        <w:rPr>
          <w:sz w:val="22"/>
          <w:szCs w:val="22"/>
        </w:rPr>
        <w:t xml:space="preserve">conducted </w:t>
      </w:r>
      <w:r w:rsidR="00886A35" w:rsidRPr="000412A1">
        <w:rPr>
          <w:sz w:val="22"/>
          <w:szCs w:val="22"/>
        </w:rPr>
        <w:t xml:space="preserve">under </w:t>
      </w:r>
      <w:r w:rsidR="00A91F05" w:rsidRPr="000412A1">
        <w:rPr>
          <w:sz w:val="22"/>
          <w:szCs w:val="22"/>
        </w:rPr>
        <w:t>batch</w:t>
      </w:r>
      <w:r w:rsidR="009F131E" w:rsidRPr="000412A1">
        <w:rPr>
          <w:sz w:val="22"/>
          <w:szCs w:val="22"/>
        </w:rPr>
        <w:t xml:space="preserve"> </w:t>
      </w:r>
      <w:r w:rsidR="00886A35" w:rsidRPr="000412A1">
        <w:rPr>
          <w:sz w:val="22"/>
          <w:szCs w:val="22"/>
        </w:rPr>
        <w:t xml:space="preserve">conditions </w:t>
      </w:r>
      <w:r w:rsidR="009F131E" w:rsidRPr="000412A1">
        <w:rPr>
          <w:sz w:val="22"/>
          <w:szCs w:val="22"/>
        </w:rPr>
        <w:t>at room temperature (25</w:t>
      </w:r>
      <w:r w:rsidR="00886A35" w:rsidRPr="000412A1">
        <w:rPr>
          <w:sz w:val="22"/>
          <w:szCs w:val="22"/>
        </w:rPr>
        <w:t xml:space="preserve"> </w:t>
      </w:r>
      <w:r w:rsidR="009F131E" w:rsidRPr="000412A1">
        <w:rPr>
          <w:sz w:val="22"/>
          <w:szCs w:val="22"/>
        </w:rPr>
        <w:t>±</w:t>
      </w:r>
      <w:r w:rsidR="00886A35" w:rsidRPr="000412A1">
        <w:rPr>
          <w:sz w:val="22"/>
          <w:szCs w:val="22"/>
        </w:rPr>
        <w:t xml:space="preserve"> </w:t>
      </w:r>
      <w:r w:rsidR="009F131E" w:rsidRPr="000412A1">
        <w:rPr>
          <w:sz w:val="22"/>
          <w:szCs w:val="22"/>
        </w:rPr>
        <w:t xml:space="preserve">1 °C). </w:t>
      </w:r>
    </w:p>
    <w:p w14:paraId="4B6F34C9" w14:textId="31C40AF1" w:rsidR="00B24BEF" w:rsidRPr="000412A1" w:rsidRDefault="00C315BE" w:rsidP="00ED2497">
      <w:pPr>
        <w:tabs>
          <w:tab w:val="left" w:pos="567"/>
        </w:tabs>
        <w:spacing w:before="240" w:after="220" w:line="480" w:lineRule="auto"/>
        <w:rPr>
          <w:bCs/>
          <w:sz w:val="22"/>
          <w:szCs w:val="22"/>
        </w:rPr>
      </w:pPr>
      <w:r w:rsidRPr="000412A1">
        <w:rPr>
          <w:sz w:val="22"/>
          <w:szCs w:val="22"/>
        </w:rPr>
        <w:t>P</w:t>
      </w:r>
      <w:r w:rsidR="00B41BC4" w:rsidRPr="000412A1">
        <w:rPr>
          <w:sz w:val="22"/>
          <w:szCs w:val="22"/>
        </w:rPr>
        <w:t>re- and post-treatment</w:t>
      </w:r>
      <w:r w:rsidR="00017AB6" w:rsidRPr="000412A1">
        <w:rPr>
          <w:sz w:val="22"/>
          <w:szCs w:val="22"/>
        </w:rPr>
        <w:t xml:space="preserve"> tests were labelled </w:t>
      </w:r>
      <w:r w:rsidR="003B2C67" w:rsidRPr="000412A1">
        <w:rPr>
          <w:sz w:val="22"/>
          <w:szCs w:val="22"/>
        </w:rPr>
        <w:t xml:space="preserve">in </w:t>
      </w:r>
      <w:r w:rsidR="00017AB6" w:rsidRPr="000412A1">
        <w:rPr>
          <w:sz w:val="22"/>
          <w:szCs w:val="22"/>
        </w:rPr>
        <w:t>accord</w:t>
      </w:r>
      <w:r w:rsidR="003B2C67" w:rsidRPr="000412A1">
        <w:rPr>
          <w:sz w:val="22"/>
          <w:szCs w:val="22"/>
        </w:rPr>
        <w:t xml:space="preserve">ance with </w:t>
      </w:r>
      <w:r w:rsidR="00017AB6" w:rsidRPr="000412A1">
        <w:rPr>
          <w:sz w:val="22"/>
          <w:szCs w:val="22"/>
        </w:rPr>
        <w:t xml:space="preserve">conditions </w:t>
      </w:r>
      <w:r w:rsidR="00886A35" w:rsidRPr="000412A1">
        <w:rPr>
          <w:sz w:val="22"/>
          <w:szCs w:val="22"/>
        </w:rPr>
        <w:t xml:space="preserve">set for </w:t>
      </w:r>
      <w:r w:rsidR="00017AB6" w:rsidRPr="000412A1">
        <w:rPr>
          <w:sz w:val="22"/>
          <w:szCs w:val="22"/>
        </w:rPr>
        <w:t>experiments</w:t>
      </w:r>
      <w:r w:rsidR="00E8416B" w:rsidRPr="000412A1">
        <w:rPr>
          <w:sz w:val="22"/>
          <w:szCs w:val="22"/>
        </w:rPr>
        <w:t xml:space="preserve"> </w:t>
      </w:r>
      <w:r w:rsidR="003B2C67" w:rsidRPr="000412A1">
        <w:rPr>
          <w:sz w:val="22"/>
          <w:szCs w:val="22"/>
        </w:rPr>
        <w:t xml:space="preserve">as shown </w:t>
      </w:r>
      <w:r w:rsidR="00E8416B" w:rsidRPr="000412A1">
        <w:rPr>
          <w:sz w:val="22"/>
          <w:szCs w:val="22"/>
        </w:rPr>
        <w:t xml:space="preserve">in </w:t>
      </w:r>
      <w:r w:rsidR="00582281" w:rsidRPr="000412A1">
        <w:rPr>
          <w:sz w:val="22"/>
          <w:szCs w:val="22"/>
        </w:rPr>
        <w:t>Table 1</w:t>
      </w:r>
      <w:r w:rsidR="00E8416B" w:rsidRPr="000412A1">
        <w:rPr>
          <w:sz w:val="22"/>
          <w:szCs w:val="22"/>
        </w:rPr>
        <w:t>.</w:t>
      </w:r>
      <w:r w:rsidR="00017AB6" w:rsidRPr="000412A1">
        <w:rPr>
          <w:sz w:val="22"/>
          <w:szCs w:val="22"/>
        </w:rPr>
        <w:t xml:space="preserve"> </w:t>
      </w:r>
      <w:r w:rsidR="00466553" w:rsidRPr="000412A1">
        <w:rPr>
          <w:sz w:val="22"/>
          <w:szCs w:val="22"/>
        </w:rPr>
        <w:t xml:space="preserve">WAS </w:t>
      </w:r>
      <w:r w:rsidR="00AF35C9" w:rsidRPr="000412A1">
        <w:rPr>
          <w:sz w:val="22"/>
          <w:szCs w:val="22"/>
        </w:rPr>
        <w:t xml:space="preserve">used </w:t>
      </w:r>
      <w:r w:rsidR="003B2C67" w:rsidRPr="000412A1">
        <w:rPr>
          <w:sz w:val="22"/>
          <w:szCs w:val="22"/>
        </w:rPr>
        <w:t xml:space="preserve">in </w:t>
      </w:r>
      <w:proofErr w:type="spellStart"/>
      <w:r w:rsidR="00740310" w:rsidRPr="000412A1">
        <w:rPr>
          <w:sz w:val="22"/>
          <w:szCs w:val="22"/>
        </w:rPr>
        <w:t>pretreatment</w:t>
      </w:r>
      <w:proofErr w:type="spellEnd"/>
      <w:r w:rsidR="00AF35C9" w:rsidRPr="000412A1">
        <w:rPr>
          <w:sz w:val="22"/>
          <w:szCs w:val="22"/>
        </w:rPr>
        <w:t xml:space="preserve"> experiments </w:t>
      </w:r>
      <w:r w:rsidR="00466553" w:rsidRPr="000412A1">
        <w:rPr>
          <w:sz w:val="22"/>
          <w:szCs w:val="22"/>
        </w:rPr>
        <w:t>was collected from the dissolved air flotation unit</w:t>
      </w:r>
      <w:r w:rsidR="00AF35C9" w:rsidRPr="000412A1">
        <w:rPr>
          <w:sz w:val="22"/>
          <w:szCs w:val="22"/>
        </w:rPr>
        <w:t xml:space="preserve"> </w:t>
      </w:r>
      <w:r w:rsidR="002E2A01" w:rsidRPr="000412A1">
        <w:rPr>
          <w:sz w:val="22"/>
          <w:szCs w:val="22"/>
        </w:rPr>
        <w:t>of</w:t>
      </w:r>
      <w:r w:rsidR="00587F51" w:rsidRPr="000412A1">
        <w:rPr>
          <w:sz w:val="22"/>
          <w:szCs w:val="22"/>
        </w:rPr>
        <w:t xml:space="preserve"> </w:t>
      </w:r>
      <w:r w:rsidR="00AF35C9" w:rsidRPr="000412A1">
        <w:rPr>
          <w:sz w:val="22"/>
          <w:szCs w:val="22"/>
        </w:rPr>
        <w:t xml:space="preserve">the WWTP </w:t>
      </w:r>
      <w:r w:rsidR="002E2A01" w:rsidRPr="000412A1">
        <w:rPr>
          <w:sz w:val="22"/>
          <w:szCs w:val="22"/>
        </w:rPr>
        <w:t>(</w:t>
      </w:r>
      <w:r w:rsidR="00AF35C9" w:rsidRPr="000412A1">
        <w:rPr>
          <w:sz w:val="22"/>
          <w:szCs w:val="22"/>
        </w:rPr>
        <w:t>León</w:t>
      </w:r>
      <w:r w:rsidR="002E2A01" w:rsidRPr="000412A1">
        <w:rPr>
          <w:sz w:val="22"/>
          <w:szCs w:val="22"/>
        </w:rPr>
        <w:t>, Spain)</w:t>
      </w:r>
      <w:r w:rsidR="00466553" w:rsidRPr="000412A1">
        <w:rPr>
          <w:sz w:val="22"/>
          <w:szCs w:val="22"/>
        </w:rPr>
        <w:t>.</w:t>
      </w:r>
      <w:r w:rsidR="00AF35C9" w:rsidRPr="000412A1">
        <w:rPr>
          <w:sz w:val="22"/>
          <w:szCs w:val="22"/>
        </w:rPr>
        <w:t xml:space="preserve"> </w:t>
      </w:r>
      <w:r w:rsidR="00AF00B3" w:rsidRPr="000412A1">
        <w:rPr>
          <w:sz w:val="22"/>
        </w:rPr>
        <w:t>This sludge had a total</w:t>
      </w:r>
      <w:r w:rsidR="001A1FE2">
        <w:rPr>
          <w:sz w:val="22"/>
        </w:rPr>
        <w:t xml:space="preserve"> </w:t>
      </w:r>
      <w:r w:rsidR="00AF00B3" w:rsidRPr="000412A1">
        <w:rPr>
          <w:sz w:val="22"/>
        </w:rPr>
        <w:t>solid</w:t>
      </w:r>
      <w:r w:rsidR="002E2A01" w:rsidRPr="000412A1">
        <w:rPr>
          <w:sz w:val="22"/>
        </w:rPr>
        <w:t>s</w:t>
      </w:r>
      <w:r w:rsidR="00AF00B3" w:rsidRPr="000412A1">
        <w:rPr>
          <w:sz w:val="22"/>
        </w:rPr>
        <w:t xml:space="preserve"> (TS) content of 21.8 g L</w:t>
      </w:r>
      <w:r w:rsidR="00C02204" w:rsidRPr="000412A1">
        <w:rPr>
          <w:sz w:val="22"/>
          <w:vertAlign w:val="superscript"/>
        </w:rPr>
        <w:t>–</w:t>
      </w:r>
      <w:r w:rsidR="00AF00B3" w:rsidRPr="000412A1">
        <w:rPr>
          <w:sz w:val="22"/>
          <w:vertAlign w:val="superscript"/>
        </w:rPr>
        <w:t>1</w:t>
      </w:r>
      <w:r w:rsidR="00AF00B3" w:rsidRPr="000412A1">
        <w:rPr>
          <w:sz w:val="22"/>
        </w:rPr>
        <w:t xml:space="preserve"> and a volatile</w:t>
      </w:r>
      <w:r w:rsidR="001A1FE2">
        <w:rPr>
          <w:sz w:val="22"/>
        </w:rPr>
        <w:t xml:space="preserve"> </w:t>
      </w:r>
      <w:r w:rsidR="00AF00B3" w:rsidRPr="000412A1">
        <w:rPr>
          <w:sz w:val="22"/>
        </w:rPr>
        <w:t>solid</w:t>
      </w:r>
      <w:r w:rsidR="002E2A01" w:rsidRPr="000412A1">
        <w:rPr>
          <w:sz w:val="22"/>
        </w:rPr>
        <w:t>s</w:t>
      </w:r>
      <w:r w:rsidR="00AF00B3" w:rsidRPr="000412A1">
        <w:rPr>
          <w:sz w:val="22"/>
        </w:rPr>
        <w:t xml:space="preserve"> (VS) concentration of 14.4 g L</w:t>
      </w:r>
      <w:r w:rsidR="00C02204" w:rsidRPr="000412A1">
        <w:rPr>
          <w:sz w:val="22"/>
          <w:vertAlign w:val="superscript"/>
        </w:rPr>
        <w:t>–</w:t>
      </w:r>
      <w:r w:rsidR="00AF00B3" w:rsidRPr="000412A1">
        <w:rPr>
          <w:sz w:val="22"/>
          <w:vertAlign w:val="superscript"/>
        </w:rPr>
        <w:t>1</w:t>
      </w:r>
      <w:r w:rsidR="00AF00B3" w:rsidRPr="000412A1">
        <w:t xml:space="preserve">. </w:t>
      </w:r>
      <w:r w:rsidR="00141C55" w:rsidRPr="000412A1">
        <w:rPr>
          <w:sz w:val="22"/>
          <w:szCs w:val="22"/>
        </w:rPr>
        <w:t>D</w:t>
      </w:r>
      <w:r w:rsidR="003832A9" w:rsidRPr="000412A1">
        <w:rPr>
          <w:sz w:val="22"/>
          <w:szCs w:val="22"/>
        </w:rPr>
        <w:t>igested sludge</w:t>
      </w:r>
      <w:r w:rsidR="002D5F9A" w:rsidRPr="000412A1">
        <w:rPr>
          <w:sz w:val="22"/>
          <w:szCs w:val="22"/>
        </w:rPr>
        <w:t xml:space="preserve"> (</w:t>
      </w:r>
      <w:r w:rsidR="00141C55" w:rsidRPr="000412A1">
        <w:rPr>
          <w:sz w:val="22"/>
          <w:szCs w:val="22"/>
        </w:rPr>
        <w:t xml:space="preserve">or </w:t>
      </w:r>
      <w:r w:rsidR="002D5F9A" w:rsidRPr="000412A1">
        <w:rPr>
          <w:sz w:val="22"/>
          <w:szCs w:val="22"/>
        </w:rPr>
        <w:t>digestate)</w:t>
      </w:r>
      <w:r w:rsidR="00141C55" w:rsidRPr="000412A1">
        <w:rPr>
          <w:sz w:val="22"/>
          <w:szCs w:val="22"/>
        </w:rPr>
        <w:t xml:space="preserve"> was used in</w:t>
      </w:r>
      <w:r w:rsidR="0085205B">
        <w:rPr>
          <w:sz w:val="22"/>
          <w:szCs w:val="22"/>
        </w:rPr>
        <w:t xml:space="preserve"> the</w:t>
      </w:r>
      <w:r w:rsidR="00141C55" w:rsidRPr="000412A1">
        <w:rPr>
          <w:sz w:val="22"/>
          <w:szCs w:val="22"/>
        </w:rPr>
        <w:t xml:space="preserve"> post-treatment tests</w:t>
      </w:r>
      <w:r w:rsidR="003832A9" w:rsidRPr="000412A1">
        <w:rPr>
          <w:sz w:val="22"/>
          <w:szCs w:val="22"/>
        </w:rPr>
        <w:t>. This sludge was obtained from a</w:t>
      </w:r>
      <w:r w:rsidR="00B36292" w:rsidRPr="000412A1">
        <w:rPr>
          <w:sz w:val="22"/>
          <w:szCs w:val="22"/>
        </w:rPr>
        <w:t xml:space="preserve"> batch</w:t>
      </w:r>
      <w:r w:rsidR="003832A9" w:rsidRPr="000412A1">
        <w:rPr>
          <w:sz w:val="22"/>
          <w:szCs w:val="22"/>
        </w:rPr>
        <w:t xml:space="preserve"> laboratory</w:t>
      </w:r>
      <w:r w:rsidR="00AF35C9" w:rsidRPr="000412A1">
        <w:rPr>
          <w:sz w:val="22"/>
          <w:szCs w:val="22"/>
        </w:rPr>
        <w:t xml:space="preserve"> </w:t>
      </w:r>
      <w:r w:rsidR="002D5F9A" w:rsidRPr="000412A1">
        <w:rPr>
          <w:sz w:val="22"/>
          <w:szCs w:val="22"/>
        </w:rPr>
        <w:t xml:space="preserve">reactor </w:t>
      </w:r>
      <w:r w:rsidR="003832A9" w:rsidRPr="000412A1">
        <w:rPr>
          <w:sz w:val="22"/>
          <w:szCs w:val="22"/>
        </w:rPr>
        <w:t xml:space="preserve">treating WAS </w:t>
      </w:r>
      <w:r w:rsidR="0085205B">
        <w:rPr>
          <w:sz w:val="22"/>
          <w:szCs w:val="22"/>
        </w:rPr>
        <w:t>that</w:t>
      </w:r>
      <w:r w:rsidR="0085205B" w:rsidRPr="000412A1">
        <w:rPr>
          <w:sz w:val="22"/>
          <w:szCs w:val="22"/>
        </w:rPr>
        <w:t xml:space="preserve"> </w:t>
      </w:r>
      <w:r w:rsidR="00B36292" w:rsidRPr="000412A1">
        <w:rPr>
          <w:sz w:val="22"/>
          <w:szCs w:val="22"/>
        </w:rPr>
        <w:t xml:space="preserve">had not </w:t>
      </w:r>
      <w:r w:rsidR="002E2A01" w:rsidRPr="000412A1">
        <w:rPr>
          <w:sz w:val="22"/>
          <w:szCs w:val="22"/>
        </w:rPr>
        <w:t>previous</w:t>
      </w:r>
      <w:r w:rsidR="00B36292" w:rsidRPr="000412A1">
        <w:rPr>
          <w:sz w:val="22"/>
          <w:szCs w:val="22"/>
        </w:rPr>
        <w:t>ly</w:t>
      </w:r>
      <w:r w:rsidR="0085205B" w:rsidRPr="0085205B">
        <w:rPr>
          <w:sz w:val="22"/>
          <w:szCs w:val="22"/>
        </w:rPr>
        <w:t xml:space="preserve"> </w:t>
      </w:r>
      <w:r w:rsidR="0085205B" w:rsidRPr="000412A1">
        <w:rPr>
          <w:sz w:val="22"/>
          <w:szCs w:val="22"/>
        </w:rPr>
        <w:t>been</w:t>
      </w:r>
      <w:r w:rsidR="00B36292" w:rsidRPr="000412A1">
        <w:rPr>
          <w:sz w:val="22"/>
          <w:szCs w:val="22"/>
        </w:rPr>
        <w:t xml:space="preserve"> submitted to any type of</w:t>
      </w:r>
      <w:r w:rsidR="003832A9" w:rsidRPr="000412A1">
        <w:rPr>
          <w:sz w:val="22"/>
          <w:szCs w:val="22"/>
        </w:rPr>
        <w:t xml:space="preserve"> </w:t>
      </w:r>
      <w:proofErr w:type="spellStart"/>
      <w:r w:rsidR="00740310" w:rsidRPr="000412A1">
        <w:rPr>
          <w:sz w:val="22"/>
          <w:szCs w:val="22"/>
        </w:rPr>
        <w:t>pretreatment</w:t>
      </w:r>
      <w:proofErr w:type="spellEnd"/>
      <w:r w:rsidR="003832A9" w:rsidRPr="000412A1">
        <w:rPr>
          <w:sz w:val="22"/>
          <w:szCs w:val="22"/>
        </w:rPr>
        <w:t xml:space="preserve">. </w:t>
      </w:r>
      <w:r w:rsidR="00CE039C" w:rsidRPr="000412A1">
        <w:rPr>
          <w:sz w:val="22"/>
          <w:szCs w:val="22"/>
        </w:rPr>
        <w:t xml:space="preserve">This digestion </w:t>
      </w:r>
      <w:r w:rsidR="0085205B">
        <w:rPr>
          <w:sz w:val="22"/>
          <w:szCs w:val="22"/>
        </w:rPr>
        <w:t>lasted</w:t>
      </w:r>
      <w:r w:rsidR="0085205B" w:rsidRPr="000412A1">
        <w:rPr>
          <w:sz w:val="22"/>
          <w:szCs w:val="22"/>
        </w:rPr>
        <w:t xml:space="preserve"> </w:t>
      </w:r>
      <w:r w:rsidR="003832A9" w:rsidRPr="000412A1">
        <w:rPr>
          <w:sz w:val="22"/>
          <w:szCs w:val="22"/>
        </w:rPr>
        <w:t>40 days</w:t>
      </w:r>
      <w:r w:rsidR="00CE039C" w:rsidRPr="000412A1">
        <w:rPr>
          <w:sz w:val="22"/>
          <w:szCs w:val="22"/>
        </w:rPr>
        <w:t>, a</w:t>
      </w:r>
      <w:r w:rsidR="00AF00B3" w:rsidRPr="000412A1">
        <w:rPr>
          <w:sz w:val="22"/>
          <w:szCs w:val="22"/>
        </w:rPr>
        <w:t xml:space="preserve">fter </w:t>
      </w:r>
      <w:r w:rsidR="00CE039C" w:rsidRPr="000412A1">
        <w:rPr>
          <w:sz w:val="22"/>
          <w:szCs w:val="22"/>
        </w:rPr>
        <w:t xml:space="preserve">which </w:t>
      </w:r>
      <w:r w:rsidR="00AF00B3" w:rsidRPr="000412A1">
        <w:rPr>
          <w:sz w:val="22"/>
          <w:szCs w:val="22"/>
        </w:rPr>
        <w:t xml:space="preserve">the </w:t>
      </w:r>
      <w:r w:rsidR="00587F51" w:rsidRPr="000412A1">
        <w:rPr>
          <w:sz w:val="22"/>
          <w:szCs w:val="22"/>
        </w:rPr>
        <w:t>digestate</w:t>
      </w:r>
      <w:r w:rsidR="008802A6" w:rsidRPr="000412A1">
        <w:rPr>
          <w:sz w:val="22"/>
          <w:szCs w:val="22"/>
        </w:rPr>
        <w:t xml:space="preserve"> was collected and </w:t>
      </w:r>
      <w:r w:rsidR="00D9626E" w:rsidRPr="000412A1">
        <w:rPr>
          <w:sz w:val="22"/>
          <w:szCs w:val="22"/>
        </w:rPr>
        <w:t>concentrated</w:t>
      </w:r>
      <w:r w:rsidR="003B2C67" w:rsidRPr="000412A1">
        <w:rPr>
          <w:sz w:val="22"/>
          <w:szCs w:val="22"/>
        </w:rPr>
        <w:t xml:space="preserve"> </w:t>
      </w:r>
      <w:r w:rsidR="008802A6" w:rsidRPr="000412A1">
        <w:rPr>
          <w:sz w:val="22"/>
          <w:szCs w:val="22"/>
        </w:rPr>
        <w:t>to</w:t>
      </w:r>
      <w:r w:rsidR="00AF00B3" w:rsidRPr="000412A1">
        <w:rPr>
          <w:sz w:val="22"/>
          <w:szCs w:val="22"/>
        </w:rPr>
        <w:t xml:space="preserve"> </w:t>
      </w:r>
      <w:r w:rsidR="00AF00B3" w:rsidRPr="000412A1">
        <w:rPr>
          <w:sz w:val="22"/>
        </w:rPr>
        <w:t>a</w:t>
      </w:r>
      <w:r w:rsidR="00CE039C" w:rsidRPr="000412A1">
        <w:rPr>
          <w:sz w:val="22"/>
        </w:rPr>
        <w:t>ttain</w:t>
      </w:r>
      <w:r w:rsidR="00AF00B3" w:rsidRPr="000412A1">
        <w:rPr>
          <w:sz w:val="22"/>
        </w:rPr>
        <w:t xml:space="preserve"> TS </w:t>
      </w:r>
      <w:r w:rsidR="00CE039C" w:rsidRPr="000412A1">
        <w:rPr>
          <w:sz w:val="22"/>
        </w:rPr>
        <w:t xml:space="preserve">content </w:t>
      </w:r>
      <w:r w:rsidR="00AF00B3" w:rsidRPr="000412A1">
        <w:rPr>
          <w:sz w:val="22"/>
        </w:rPr>
        <w:t>of 22.0 g L</w:t>
      </w:r>
      <w:r w:rsidR="00C02204" w:rsidRPr="000412A1">
        <w:rPr>
          <w:sz w:val="22"/>
          <w:vertAlign w:val="superscript"/>
        </w:rPr>
        <w:t>–</w:t>
      </w:r>
      <w:r w:rsidR="00AF00B3" w:rsidRPr="000412A1">
        <w:rPr>
          <w:sz w:val="22"/>
          <w:vertAlign w:val="superscript"/>
        </w:rPr>
        <w:t>1</w:t>
      </w:r>
      <w:r w:rsidR="00AF00B3" w:rsidRPr="000412A1">
        <w:rPr>
          <w:sz w:val="22"/>
        </w:rPr>
        <w:t xml:space="preserve"> </w:t>
      </w:r>
      <w:r w:rsidR="00CE039C" w:rsidRPr="000412A1">
        <w:rPr>
          <w:sz w:val="22"/>
        </w:rPr>
        <w:t>(</w:t>
      </w:r>
      <w:r w:rsidR="00AF00B3" w:rsidRPr="000412A1">
        <w:rPr>
          <w:sz w:val="22"/>
        </w:rPr>
        <w:t xml:space="preserve">VS </w:t>
      </w:r>
      <w:r w:rsidR="00CE039C" w:rsidRPr="000412A1">
        <w:rPr>
          <w:sz w:val="22"/>
        </w:rPr>
        <w:t xml:space="preserve">content </w:t>
      </w:r>
      <w:r w:rsidR="00AF00B3" w:rsidRPr="000412A1">
        <w:rPr>
          <w:sz w:val="22"/>
        </w:rPr>
        <w:t>of 10.1 g L</w:t>
      </w:r>
      <w:r w:rsidR="00C02204" w:rsidRPr="000412A1">
        <w:rPr>
          <w:sz w:val="22"/>
          <w:vertAlign w:val="superscript"/>
        </w:rPr>
        <w:t>–</w:t>
      </w:r>
      <w:r w:rsidR="00AF00B3" w:rsidRPr="000412A1">
        <w:rPr>
          <w:sz w:val="22"/>
          <w:vertAlign w:val="superscript"/>
        </w:rPr>
        <w:t>1</w:t>
      </w:r>
      <w:r w:rsidR="00CE039C" w:rsidRPr="000412A1">
        <w:rPr>
          <w:sz w:val="22"/>
        </w:rPr>
        <w:t>)</w:t>
      </w:r>
      <w:r w:rsidR="00AD15D9" w:rsidRPr="000412A1">
        <w:rPr>
          <w:sz w:val="22"/>
        </w:rPr>
        <w:t xml:space="preserve">. </w:t>
      </w:r>
      <w:r w:rsidR="00D77071" w:rsidRPr="000412A1">
        <w:rPr>
          <w:sz w:val="22"/>
          <w:szCs w:val="22"/>
        </w:rPr>
        <w:t>S</w:t>
      </w:r>
      <w:r w:rsidR="003832A9" w:rsidRPr="000412A1">
        <w:rPr>
          <w:sz w:val="22"/>
          <w:szCs w:val="22"/>
        </w:rPr>
        <w:t xml:space="preserve">olubilisation </w:t>
      </w:r>
      <w:r w:rsidR="0085205B">
        <w:rPr>
          <w:sz w:val="22"/>
          <w:szCs w:val="22"/>
        </w:rPr>
        <w:t>and</w:t>
      </w:r>
      <w:r w:rsidR="003832A9" w:rsidRPr="000412A1">
        <w:rPr>
          <w:sz w:val="22"/>
          <w:szCs w:val="22"/>
        </w:rPr>
        <w:t xml:space="preserve"> the effect of </w:t>
      </w:r>
      <w:r w:rsidR="001E0387" w:rsidRPr="000412A1">
        <w:rPr>
          <w:sz w:val="22"/>
          <w:szCs w:val="22"/>
        </w:rPr>
        <w:t>electr</w:t>
      </w:r>
      <w:r w:rsidR="001E7DCA" w:rsidRPr="000412A1">
        <w:rPr>
          <w:sz w:val="22"/>
          <w:szCs w:val="22"/>
        </w:rPr>
        <w:t>o-o</w:t>
      </w:r>
      <w:r w:rsidR="001E0387" w:rsidRPr="000412A1">
        <w:rPr>
          <w:sz w:val="22"/>
          <w:szCs w:val="22"/>
        </w:rPr>
        <w:t>xidation</w:t>
      </w:r>
      <w:r w:rsidR="0085205B">
        <w:rPr>
          <w:sz w:val="22"/>
          <w:szCs w:val="22"/>
        </w:rPr>
        <w:t xml:space="preserve"> were measured</w:t>
      </w:r>
      <w:r w:rsidR="00D77071" w:rsidRPr="000412A1">
        <w:rPr>
          <w:sz w:val="22"/>
          <w:szCs w:val="22"/>
        </w:rPr>
        <w:t xml:space="preserve">. When evaluating </w:t>
      </w:r>
      <w:r w:rsidR="003832A9" w:rsidRPr="000412A1">
        <w:rPr>
          <w:sz w:val="22"/>
          <w:szCs w:val="22"/>
        </w:rPr>
        <w:t>post</w:t>
      </w:r>
      <w:r w:rsidR="000C7300" w:rsidRPr="000412A1">
        <w:rPr>
          <w:sz w:val="22"/>
          <w:szCs w:val="22"/>
        </w:rPr>
        <w:t>-</w:t>
      </w:r>
      <w:r w:rsidR="003832A9" w:rsidRPr="000412A1">
        <w:rPr>
          <w:sz w:val="22"/>
          <w:szCs w:val="22"/>
        </w:rPr>
        <w:t xml:space="preserve">treatment </w:t>
      </w:r>
      <w:r w:rsidR="00D77071" w:rsidRPr="000412A1">
        <w:rPr>
          <w:sz w:val="22"/>
          <w:szCs w:val="22"/>
        </w:rPr>
        <w:t xml:space="preserve">efficiency, </w:t>
      </w:r>
      <w:r w:rsidR="003832A9" w:rsidRPr="000412A1">
        <w:rPr>
          <w:sz w:val="22"/>
          <w:szCs w:val="22"/>
        </w:rPr>
        <w:t xml:space="preserve">dewaterability characteristics </w:t>
      </w:r>
      <w:r w:rsidR="00D77071" w:rsidRPr="000412A1">
        <w:rPr>
          <w:sz w:val="22"/>
          <w:szCs w:val="22"/>
        </w:rPr>
        <w:t>were also an</w:t>
      </w:r>
      <w:r w:rsidR="009E4459" w:rsidRPr="000412A1">
        <w:rPr>
          <w:sz w:val="22"/>
          <w:szCs w:val="22"/>
        </w:rPr>
        <w:t>a</w:t>
      </w:r>
      <w:r w:rsidR="00D77071" w:rsidRPr="000412A1">
        <w:rPr>
          <w:sz w:val="22"/>
          <w:szCs w:val="22"/>
        </w:rPr>
        <w:t>lysed</w:t>
      </w:r>
      <w:r w:rsidR="003832A9" w:rsidRPr="000412A1">
        <w:rPr>
          <w:sz w:val="22"/>
          <w:szCs w:val="22"/>
        </w:rPr>
        <w:t>.</w:t>
      </w:r>
      <w:r w:rsidR="00B41B7C" w:rsidRPr="000412A1">
        <w:rPr>
          <w:sz w:val="22"/>
          <w:szCs w:val="22"/>
        </w:rPr>
        <w:t xml:space="preserve"> </w:t>
      </w:r>
      <w:r w:rsidR="00B41B7C" w:rsidRPr="000412A1">
        <w:rPr>
          <w:bCs/>
          <w:sz w:val="22"/>
          <w:szCs w:val="22"/>
        </w:rPr>
        <w:t>Na</w:t>
      </w:r>
      <w:r w:rsidR="00B41B7C" w:rsidRPr="000412A1">
        <w:rPr>
          <w:bCs/>
          <w:sz w:val="22"/>
          <w:szCs w:val="22"/>
          <w:vertAlign w:val="subscript"/>
        </w:rPr>
        <w:t>2</w:t>
      </w:r>
      <w:r w:rsidR="00B41B7C" w:rsidRPr="000412A1">
        <w:rPr>
          <w:bCs/>
          <w:sz w:val="22"/>
          <w:szCs w:val="22"/>
        </w:rPr>
        <w:t>SO</w:t>
      </w:r>
      <w:r w:rsidR="00B41B7C" w:rsidRPr="000412A1">
        <w:rPr>
          <w:bCs/>
          <w:sz w:val="22"/>
          <w:szCs w:val="22"/>
          <w:vertAlign w:val="subscript"/>
        </w:rPr>
        <w:t>4</w:t>
      </w:r>
      <w:r w:rsidR="00B41B7C" w:rsidRPr="000412A1">
        <w:rPr>
          <w:rFonts w:eastAsia="Calibri"/>
          <w:sz w:val="22"/>
          <w:szCs w:val="22"/>
        </w:rPr>
        <w:t xml:space="preserve"> was added as supporting electrolyte to adjust conductivity </w:t>
      </w:r>
      <w:r w:rsidR="00B41B7C" w:rsidRPr="000412A1">
        <w:rPr>
          <w:rFonts w:eastAsia="Calibri"/>
          <w:sz w:val="22"/>
          <w:szCs w:val="22"/>
        </w:rPr>
        <w:fldChar w:fldCharType="begin" w:fldLock="1"/>
      </w:r>
      <w:r w:rsidR="00A07857" w:rsidRPr="000412A1">
        <w:rPr>
          <w:rFonts w:eastAsia="Calibri"/>
          <w:sz w:val="22"/>
          <w:szCs w:val="22"/>
        </w:rPr>
        <w:instrText>ADDIN CSL_CITATION { "citationItems" : [ { "id" : "ITEM-1", "itemData" : { "DOI" : "10.1016/S1001-0742(09)60140-6", "ISSN" : "10010742", "abstract" : "The electrochemical degradation of p-nitrophenol (PNP) under different conditions was investigated. The electrochemical behavior of PNP and its reduction product p-aminophenol (PAP) on stainless steel cathode and Ti/Pt anode through cyclic voltammetry were observed. Electrochemical degradation process was performed in an undivided cell and 92% PNP was removed corresponding to a 22% total organic carbon removal. A divided cell was also used and it was found that PNP degradation was mainly attributed to cathodic reduction, while anodic oxidation was responsible for PNP removal due to the reaction with hydroxyl radicals and surface oxide generated on the anode. The sequential electrolytic processes, reduction-oxidation and oxidation-reduction, were compared in the divided cell. In the case of reduction-oxidation process, the total organic carbon removal reached 40%, but PNP removal was the same with the undivided cell. A black deposit was found in the effluent and identified by Fourier transform infrared spectroscopy as a polymer of PAP produced by the 1,4-addition reaction of quinoneimine. Intermediates left in the solution such as hydroquinone, p-benzoquinone and PAP were determined by high performance liquid chromatography. Whereas, the oxidation-reduction process proved unsatisfying.", "author" : [ { "dropping-particle" : "", "family" : "Jiang", "given" : "Ping", "non-dropping-particle" : "", "parse-names" : false, "suffix" : "" }, { "dropping-particle" : "", "family" : "Zhou", "given" : "Jiti", "non-dropping-particle" : "", "parse-names" : false, "suffix" : "" }, { "dropping-particle" : "", "family" : "Zhang", "given" : "Aili", "non-dropping-particle" : "", "parse-names" : false, "suffix" : "" }, { "dropping-particle" : "", "family" : "Zhong", "given" : "Yijiang", "non-dropping-particle" : "", "parse-names" : false, "suffix" : "" } ], "container-title" : "Journal of Environmental Sciences", "id" : "ITEM-1", "issue" : "4", "issued" : { "date-parts" : [ [ "2010" ] ] }, "page" : "500-506", "publisher" : "Elsevier", "title" : "Electrochemical degradation of p-nitrophenol with different processes", "type" : "article-journal", "volume" : "22" }, "uris" : [ "http://www.mendeley.com/documents/?uuid=87b19165-d186-3191-aa2a-b3f09f4f1cc9", "http://www.mendeley.com/documents/?uuid=5f8bf7de-cd5b-4fb7-8f32-cbbbfcf0f36e" ] } ], "mendeley" : { "formattedCitation" : "(Jiang et al., 2010)", "plainTextFormattedCitation" : "(Jiang et al., 2010)", "previouslyFormattedCitation" : "(Jiang et al., 2010)" }, "properties" : {  }, "schema" : "https://github.com/citation-style-language/schema/raw/master/csl-citation.json" }</w:instrText>
      </w:r>
      <w:r w:rsidR="00B41B7C" w:rsidRPr="000412A1">
        <w:rPr>
          <w:rFonts w:eastAsia="Calibri"/>
          <w:sz w:val="22"/>
          <w:szCs w:val="22"/>
        </w:rPr>
        <w:fldChar w:fldCharType="separate"/>
      </w:r>
      <w:r w:rsidR="00B41B7C" w:rsidRPr="000412A1">
        <w:rPr>
          <w:rFonts w:eastAsia="Calibri"/>
          <w:noProof/>
          <w:sz w:val="22"/>
          <w:szCs w:val="22"/>
        </w:rPr>
        <w:t>(Jiang et al., 2010)</w:t>
      </w:r>
      <w:r w:rsidR="00B41B7C" w:rsidRPr="000412A1">
        <w:rPr>
          <w:rFonts w:eastAsia="Calibri"/>
          <w:sz w:val="22"/>
          <w:szCs w:val="22"/>
        </w:rPr>
        <w:fldChar w:fldCharType="end"/>
      </w:r>
      <w:r w:rsidR="00B41B7C" w:rsidRPr="000412A1">
        <w:rPr>
          <w:rFonts w:eastAsia="Calibri"/>
          <w:sz w:val="22"/>
          <w:szCs w:val="22"/>
        </w:rPr>
        <w:t xml:space="preserve">. </w:t>
      </w:r>
      <w:r w:rsidR="00AD15D9" w:rsidRPr="000412A1">
        <w:rPr>
          <w:rFonts w:eastAsia="Calibri"/>
          <w:sz w:val="22"/>
          <w:szCs w:val="22"/>
        </w:rPr>
        <w:t>An a</w:t>
      </w:r>
      <w:r w:rsidR="00B41B7C" w:rsidRPr="000412A1">
        <w:rPr>
          <w:rFonts w:eastAsia="Calibri"/>
          <w:sz w:val="22"/>
          <w:szCs w:val="22"/>
        </w:rPr>
        <w:t>lkaline solution</w:t>
      </w:r>
      <w:r w:rsidR="0085205B">
        <w:rPr>
          <w:rFonts w:eastAsia="Calibri"/>
          <w:sz w:val="22"/>
          <w:szCs w:val="22"/>
        </w:rPr>
        <w:t xml:space="preserve"> of</w:t>
      </w:r>
      <w:r w:rsidR="00B41B7C" w:rsidRPr="000412A1">
        <w:rPr>
          <w:rFonts w:eastAsia="Calibri"/>
          <w:sz w:val="22"/>
          <w:szCs w:val="22"/>
        </w:rPr>
        <w:t xml:space="preserve"> </w:t>
      </w:r>
      <w:r w:rsidR="006D4136" w:rsidRPr="000412A1">
        <w:rPr>
          <w:rFonts w:eastAsia="Calibri"/>
          <w:sz w:val="22"/>
          <w:szCs w:val="22"/>
        </w:rPr>
        <w:t>0.2 M</w:t>
      </w:r>
      <w:r w:rsidR="00F32982" w:rsidRPr="000412A1">
        <w:rPr>
          <w:rFonts w:eastAsia="Calibri"/>
          <w:sz w:val="22"/>
          <w:szCs w:val="22"/>
        </w:rPr>
        <w:t xml:space="preserve"> </w:t>
      </w:r>
      <w:r w:rsidR="006D4136" w:rsidRPr="000412A1">
        <w:rPr>
          <w:rFonts w:eastAsia="Calibri"/>
          <w:sz w:val="22"/>
          <w:szCs w:val="22"/>
        </w:rPr>
        <w:t xml:space="preserve">NaOH </w:t>
      </w:r>
      <w:r w:rsidR="00AD15D9" w:rsidRPr="000412A1">
        <w:rPr>
          <w:bCs/>
          <w:sz w:val="22"/>
          <w:szCs w:val="22"/>
        </w:rPr>
        <w:t xml:space="preserve">was used to </w:t>
      </w:r>
      <w:r w:rsidR="001574F2" w:rsidRPr="000412A1">
        <w:rPr>
          <w:bCs/>
          <w:sz w:val="22"/>
          <w:szCs w:val="22"/>
        </w:rPr>
        <w:t>increase</w:t>
      </w:r>
      <w:r w:rsidR="00AD15D9" w:rsidRPr="000412A1">
        <w:rPr>
          <w:bCs/>
          <w:sz w:val="22"/>
          <w:szCs w:val="22"/>
        </w:rPr>
        <w:t xml:space="preserve"> pH to </w:t>
      </w:r>
      <w:r w:rsidR="00E663FE" w:rsidRPr="000412A1">
        <w:rPr>
          <w:bCs/>
          <w:sz w:val="22"/>
          <w:szCs w:val="22"/>
        </w:rPr>
        <w:t>a value of 10</w:t>
      </w:r>
      <w:r w:rsidR="00AD15D9" w:rsidRPr="000412A1">
        <w:rPr>
          <w:bCs/>
          <w:sz w:val="22"/>
          <w:szCs w:val="22"/>
        </w:rPr>
        <w:t>.</w:t>
      </w:r>
    </w:p>
    <w:p w14:paraId="41CBFB40" w14:textId="09C00985" w:rsidR="00A65FC9" w:rsidRPr="000412A1" w:rsidRDefault="00A65FC9" w:rsidP="00A65FC9">
      <w:pPr>
        <w:rPr>
          <w:bCs/>
          <w:sz w:val="22"/>
          <w:szCs w:val="22"/>
        </w:rPr>
      </w:pPr>
      <w:bookmarkStart w:id="2" w:name="_Ref32936669"/>
      <w:r w:rsidRPr="009A0A82">
        <w:rPr>
          <w:b/>
          <w:bCs/>
        </w:rPr>
        <w:t>T</w:t>
      </w:r>
      <w:r w:rsidRPr="009A0A82">
        <w:rPr>
          <w:b/>
          <w:bCs/>
          <w:sz w:val="22"/>
          <w:szCs w:val="22"/>
        </w:rPr>
        <w:t>able</w:t>
      </w:r>
      <w:r w:rsidR="00C02204" w:rsidRPr="009A0A82">
        <w:rPr>
          <w:b/>
          <w:bCs/>
          <w:sz w:val="22"/>
          <w:szCs w:val="22"/>
        </w:rPr>
        <w:t xml:space="preserve"> </w:t>
      </w:r>
      <w:r w:rsidR="00582281" w:rsidRPr="009A0A82">
        <w:rPr>
          <w:b/>
          <w:bCs/>
          <w:sz w:val="22"/>
          <w:szCs w:val="22"/>
        </w:rPr>
        <w:t>1</w:t>
      </w:r>
      <w:bookmarkEnd w:id="2"/>
      <w:r w:rsidRPr="009A0A82">
        <w:rPr>
          <w:b/>
          <w:bCs/>
          <w:sz w:val="22"/>
          <w:szCs w:val="22"/>
        </w:rPr>
        <w:t>.</w:t>
      </w:r>
      <w:r w:rsidRPr="000412A1">
        <w:rPr>
          <w:bCs/>
          <w:sz w:val="22"/>
          <w:szCs w:val="22"/>
        </w:rPr>
        <w:t xml:space="preserve"> Pre- and post-treatment </w:t>
      </w:r>
      <w:r w:rsidR="00C02204" w:rsidRPr="000412A1">
        <w:rPr>
          <w:bCs/>
          <w:sz w:val="22"/>
          <w:szCs w:val="22"/>
        </w:rPr>
        <w:t xml:space="preserve">experiment </w:t>
      </w:r>
      <w:r w:rsidRPr="000412A1">
        <w:rPr>
          <w:bCs/>
          <w:sz w:val="22"/>
          <w:szCs w:val="22"/>
        </w:rPr>
        <w:t>conditions</w:t>
      </w:r>
      <w:r w:rsidR="00C02204" w:rsidRPr="000412A1">
        <w:rPr>
          <w:bCs/>
          <w:sz w:val="22"/>
          <w:szCs w:val="22"/>
        </w:rPr>
        <w:t>.</w:t>
      </w:r>
      <w:r w:rsidR="0085205B">
        <w:rPr>
          <w:bCs/>
          <w:sz w:val="22"/>
          <w:szCs w:val="22"/>
        </w:rPr>
        <w:t xml:space="preserve"> WAS, waste</w:t>
      </w:r>
      <w:r w:rsidR="001A1FE2">
        <w:rPr>
          <w:bCs/>
          <w:sz w:val="22"/>
          <w:szCs w:val="22"/>
        </w:rPr>
        <w:t xml:space="preserve"> </w:t>
      </w:r>
      <w:r w:rsidR="0085205B">
        <w:rPr>
          <w:bCs/>
          <w:sz w:val="22"/>
          <w:szCs w:val="22"/>
        </w:rPr>
        <w:t>activated sludge.</w:t>
      </w:r>
    </w:p>
    <w:p w14:paraId="49728EDB" w14:textId="77777777" w:rsidR="00A65FC9" w:rsidRPr="000412A1" w:rsidRDefault="00A65FC9" w:rsidP="00A65FC9">
      <w:pPr>
        <w:rPr>
          <w:sz w:val="22"/>
          <w:szCs w:val="22"/>
        </w:rPr>
      </w:pPr>
    </w:p>
    <w:tbl>
      <w:tblPr>
        <w:tblStyle w:val="Tablaconcuadrcula"/>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701"/>
        <w:gridCol w:w="1275"/>
        <w:gridCol w:w="1276"/>
        <w:gridCol w:w="1418"/>
      </w:tblGrid>
      <w:tr w:rsidR="00A65FC9" w:rsidRPr="000412A1" w14:paraId="41F28AE6" w14:textId="77777777" w:rsidTr="009A0A82">
        <w:trPr>
          <w:trHeight w:val="20"/>
        </w:trPr>
        <w:tc>
          <w:tcPr>
            <w:tcW w:w="1560" w:type="dxa"/>
            <w:tcBorders>
              <w:top w:val="single" w:sz="4" w:space="0" w:color="auto"/>
              <w:bottom w:val="single" w:sz="4" w:space="0" w:color="auto"/>
            </w:tcBorders>
            <w:vAlign w:val="center"/>
          </w:tcPr>
          <w:p w14:paraId="4ADF41C6" w14:textId="75C1CF9C" w:rsidR="00A65FC9" w:rsidRPr="000412A1" w:rsidRDefault="00A65FC9" w:rsidP="00203457">
            <w:pPr>
              <w:tabs>
                <w:tab w:val="left" w:pos="567"/>
              </w:tabs>
              <w:jc w:val="center"/>
              <w:rPr>
                <w:b/>
                <w:sz w:val="22"/>
                <w:szCs w:val="22"/>
              </w:rPr>
            </w:pPr>
            <w:r w:rsidRPr="000412A1">
              <w:rPr>
                <w:b/>
                <w:sz w:val="22"/>
                <w:szCs w:val="22"/>
              </w:rPr>
              <w:t xml:space="preserve">WAS </w:t>
            </w:r>
            <w:proofErr w:type="spellStart"/>
            <w:r w:rsidR="00C02204" w:rsidRPr="000412A1">
              <w:rPr>
                <w:b/>
                <w:sz w:val="22"/>
                <w:szCs w:val="22"/>
              </w:rPr>
              <w:t>Pre</w:t>
            </w:r>
            <w:r w:rsidRPr="000412A1">
              <w:rPr>
                <w:b/>
                <w:sz w:val="22"/>
                <w:szCs w:val="22"/>
              </w:rPr>
              <w:t>treatment</w:t>
            </w:r>
            <w:proofErr w:type="spellEnd"/>
          </w:p>
        </w:tc>
        <w:tc>
          <w:tcPr>
            <w:tcW w:w="1701" w:type="dxa"/>
            <w:tcBorders>
              <w:top w:val="single" w:sz="4" w:space="0" w:color="auto"/>
              <w:bottom w:val="single" w:sz="4" w:space="0" w:color="auto"/>
            </w:tcBorders>
            <w:vAlign w:val="center"/>
          </w:tcPr>
          <w:p w14:paraId="71EB1714" w14:textId="77777777" w:rsidR="00A65FC9" w:rsidRPr="000412A1" w:rsidRDefault="00A65FC9" w:rsidP="00203457">
            <w:pPr>
              <w:tabs>
                <w:tab w:val="left" w:pos="567"/>
              </w:tabs>
              <w:jc w:val="center"/>
              <w:rPr>
                <w:b/>
                <w:sz w:val="22"/>
                <w:szCs w:val="22"/>
              </w:rPr>
            </w:pPr>
            <w:r w:rsidRPr="000412A1">
              <w:rPr>
                <w:b/>
                <w:sz w:val="22"/>
                <w:szCs w:val="22"/>
              </w:rPr>
              <w:t>Characteristics</w:t>
            </w:r>
          </w:p>
        </w:tc>
        <w:tc>
          <w:tcPr>
            <w:tcW w:w="1275" w:type="dxa"/>
            <w:tcBorders>
              <w:top w:val="single" w:sz="4" w:space="0" w:color="auto"/>
              <w:bottom w:val="single" w:sz="4" w:space="0" w:color="auto"/>
            </w:tcBorders>
            <w:vAlign w:val="center"/>
          </w:tcPr>
          <w:p w14:paraId="62E14569" w14:textId="77777777" w:rsidR="00A65FC9" w:rsidRPr="000412A1" w:rsidRDefault="00A65FC9" w:rsidP="00203457">
            <w:pPr>
              <w:tabs>
                <w:tab w:val="left" w:pos="567"/>
              </w:tabs>
              <w:jc w:val="center"/>
              <w:rPr>
                <w:b/>
                <w:sz w:val="22"/>
                <w:szCs w:val="22"/>
              </w:rPr>
            </w:pPr>
            <w:r w:rsidRPr="000412A1">
              <w:rPr>
                <w:b/>
                <w:sz w:val="22"/>
                <w:szCs w:val="22"/>
              </w:rPr>
              <w:t xml:space="preserve">Voltage (Volts) </w:t>
            </w:r>
          </w:p>
        </w:tc>
        <w:tc>
          <w:tcPr>
            <w:tcW w:w="1276" w:type="dxa"/>
            <w:tcBorders>
              <w:top w:val="single" w:sz="4" w:space="0" w:color="auto"/>
              <w:bottom w:val="single" w:sz="4" w:space="0" w:color="auto"/>
            </w:tcBorders>
            <w:vAlign w:val="center"/>
          </w:tcPr>
          <w:p w14:paraId="7730C3C1" w14:textId="77777777" w:rsidR="00A65FC9" w:rsidRPr="000412A1" w:rsidRDefault="00A65FC9" w:rsidP="00203457">
            <w:pPr>
              <w:tabs>
                <w:tab w:val="left" w:pos="567"/>
              </w:tabs>
              <w:jc w:val="center"/>
              <w:rPr>
                <w:b/>
                <w:sz w:val="22"/>
                <w:szCs w:val="22"/>
              </w:rPr>
            </w:pPr>
            <w:r w:rsidRPr="000412A1">
              <w:rPr>
                <w:b/>
                <w:sz w:val="22"/>
                <w:szCs w:val="22"/>
              </w:rPr>
              <w:t>Current (mA/cm</w:t>
            </w:r>
            <w:r w:rsidRPr="000412A1">
              <w:rPr>
                <w:b/>
                <w:sz w:val="22"/>
                <w:szCs w:val="22"/>
                <w:vertAlign w:val="superscript"/>
              </w:rPr>
              <w:t>2</w:t>
            </w:r>
            <w:r w:rsidRPr="000412A1">
              <w:rPr>
                <w:b/>
                <w:sz w:val="22"/>
                <w:szCs w:val="22"/>
              </w:rPr>
              <w:t>)</w:t>
            </w:r>
          </w:p>
        </w:tc>
        <w:tc>
          <w:tcPr>
            <w:tcW w:w="1418" w:type="dxa"/>
            <w:tcBorders>
              <w:top w:val="single" w:sz="4" w:space="0" w:color="auto"/>
              <w:bottom w:val="single" w:sz="4" w:space="0" w:color="auto"/>
            </w:tcBorders>
            <w:vAlign w:val="center"/>
          </w:tcPr>
          <w:p w14:paraId="24D2B18F" w14:textId="77777777" w:rsidR="00A65FC9" w:rsidRPr="000412A1" w:rsidRDefault="00A65FC9" w:rsidP="00203457">
            <w:pPr>
              <w:tabs>
                <w:tab w:val="left" w:pos="567"/>
              </w:tabs>
              <w:jc w:val="center"/>
              <w:rPr>
                <w:b/>
                <w:sz w:val="22"/>
                <w:szCs w:val="22"/>
              </w:rPr>
            </w:pPr>
            <w:r w:rsidRPr="000412A1">
              <w:rPr>
                <w:b/>
                <w:sz w:val="22"/>
                <w:szCs w:val="22"/>
              </w:rPr>
              <w:t>Time (min)</w:t>
            </w:r>
          </w:p>
        </w:tc>
      </w:tr>
      <w:tr w:rsidR="00A65FC9" w:rsidRPr="000412A1" w14:paraId="03A69B96" w14:textId="77777777" w:rsidTr="009A0A82">
        <w:trPr>
          <w:trHeight w:val="20"/>
        </w:trPr>
        <w:tc>
          <w:tcPr>
            <w:tcW w:w="1560" w:type="dxa"/>
            <w:tcBorders>
              <w:top w:val="single" w:sz="4" w:space="0" w:color="auto"/>
            </w:tcBorders>
            <w:vAlign w:val="center"/>
          </w:tcPr>
          <w:p w14:paraId="10C76C21" w14:textId="77777777" w:rsidR="00A65FC9" w:rsidRPr="000412A1" w:rsidRDefault="00A65FC9" w:rsidP="00203457">
            <w:pPr>
              <w:tabs>
                <w:tab w:val="left" w:pos="567"/>
              </w:tabs>
              <w:jc w:val="center"/>
              <w:rPr>
                <w:b/>
                <w:sz w:val="22"/>
                <w:szCs w:val="22"/>
              </w:rPr>
            </w:pPr>
            <w:r w:rsidRPr="000412A1">
              <w:rPr>
                <w:b/>
                <w:sz w:val="22"/>
                <w:szCs w:val="22"/>
              </w:rPr>
              <w:t>T1</w:t>
            </w:r>
          </w:p>
        </w:tc>
        <w:tc>
          <w:tcPr>
            <w:tcW w:w="1701" w:type="dxa"/>
            <w:tcBorders>
              <w:top w:val="single" w:sz="4" w:space="0" w:color="auto"/>
            </w:tcBorders>
            <w:vAlign w:val="center"/>
          </w:tcPr>
          <w:p w14:paraId="4D8BE7E8" w14:textId="77777777" w:rsidR="00A65FC9" w:rsidRPr="000412A1" w:rsidRDefault="00A65FC9" w:rsidP="00203457">
            <w:pPr>
              <w:tabs>
                <w:tab w:val="left" w:pos="567"/>
              </w:tabs>
              <w:jc w:val="center"/>
              <w:rPr>
                <w:sz w:val="22"/>
                <w:szCs w:val="22"/>
              </w:rPr>
            </w:pPr>
            <w:r w:rsidRPr="000412A1">
              <w:rPr>
                <w:sz w:val="22"/>
                <w:szCs w:val="22"/>
              </w:rPr>
              <w:t>Control</w:t>
            </w:r>
          </w:p>
        </w:tc>
        <w:tc>
          <w:tcPr>
            <w:tcW w:w="1275" w:type="dxa"/>
            <w:tcBorders>
              <w:top w:val="single" w:sz="4" w:space="0" w:color="auto"/>
            </w:tcBorders>
            <w:vAlign w:val="center"/>
          </w:tcPr>
          <w:p w14:paraId="0B4C98C9" w14:textId="77777777" w:rsidR="00A65FC9" w:rsidRPr="000412A1" w:rsidRDefault="00A65FC9" w:rsidP="00203457">
            <w:pPr>
              <w:tabs>
                <w:tab w:val="left" w:pos="567"/>
              </w:tabs>
              <w:jc w:val="center"/>
              <w:rPr>
                <w:sz w:val="22"/>
                <w:szCs w:val="22"/>
              </w:rPr>
            </w:pPr>
            <w:r w:rsidRPr="000412A1">
              <w:rPr>
                <w:sz w:val="22"/>
                <w:szCs w:val="22"/>
              </w:rPr>
              <w:t xml:space="preserve">5 </w:t>
            </w:r>
          </w:p>
        </w:tc>
        <w:tc>
          <w:tcPr>
            <w:tcW w:w="1276" w:type="dxa"/>
            <w:tcBorders>
              <w:top w:val="single" w:sz="4" w:space="0" w:color="auto"/>
            </w:tcBorders>
            <w:vAlign w:val="center"/>
          </w:tcPr>
          <w:p w14:paraId="148E00E8" w14:textId="77777777" w:rsidR="00A65FC9" w:rsidRPr="000412A1" w:rsidRDefault="00A65FC9" w:rsidP="00203457">
            <w:pPr>
              <w:tabs>
                <w:tab w:val="left" w:pos="567"/>
              </w:tabs>
              <w:jc w:val="center"/>
              <w:rPr>
                <w:sz w:val="22"/>
                <w:szCs w:val="22"/>
              </w:rPr>
            </w:pPr>
            <w:r w:rsidRPr="000412A1">
              <w:rPr>
                <w:sz w:val="22"/>
                <w:szCs w:val="22"/>
              </w:rPr>
              <w:t>6.6</w:t>
            </w:r>
          </w:p>
        </w:tc>
        <w:tc>
          <w:tcPr>
            <w:tcW w:w="1418" w:type="dxa"/>
            <w:tcBorders>
              <w:top w:val="single" w:sz="4" w:space="0" w:color="auto"/>
            </w:tcBorders>
            <w:vAlign w:val="center"/>
          </w:tcPr>
          <w:p w14:paraId="26C58C5D" w14:textId="77777777" w:rsidR="00A65FC9" w:rsidRPr="000412A1" w:rsidRDefault="00A65FC9" w:rsidP="00203457">
            <w:pPr>
              <w:tabs>
                <w:tab w:val="left" w:pos="567"/>
              </w:tabs>
              <w:jc w:val="center"/>
              <w:rPr>
                <w:sz w:val="22"/>
                <w:szCs w:val="22"/>
              </w:rPr>
            </w:pPr>
            <w:r w:rsidRPr="000412A1">
              <w:rPr>
                <w:sz w:val="22"/>
                <w:szCs w:val="22"/>
              </w:rPr>
              <w:t>60</w:t>
            </w:r>
          </w:p>
        </w:tc>
      </w:tr>
      <w:tr w:rsidR="00A65FC9" w:rsidRPr="000412A1" w14:paraId="0CEEA02D" w14:textId="77777777" w:rsidTr="009A0A82">
        <w:trPr>
          <w:trHeight w:val="20"/>
        </w:trPr>
        <w:tc>
          <w:tcPr>
            <w:tcW w:w="1560" w:type="dxa"/>
            <w:vAlign w:val="center"/>
          </w:tcPr>
          <w:p w14:paraId="29AB8E21" w14:textId="77777777" w:rsidR="00A65FC9" w:rsidRPr="000412A1" w:rsidRDefault="00A65FC9" w:rsidP="00203457">
            <w:pPr>
              <w:tabs>
                <w:tab w:val="left" w:pos="567"/>
              </w:tabs>
              <w:jc w:val="center"/>
              <w:rPr>
                <w:b/>
                <w:sz w:val="22"/>
                <w:szCs w:val="22"/>
              </w:rPr>
            </w:pPr>
            <w:r w:rsidRPr="000412A1">
              <w:rPr>
                <w:b/>
                <w:sz w:val="22"/>
                <w:szCs w:val="22"/>
              </w:rPr>
              <w:t>T2</w:t>
            </w:r>
          </w:p>
        </w:tc>
        <w:tc>
          <w:tcPr>
            <w:tcW w:w="1701" w:type="dxa"/>
            <w:vAlign w:val="center"/>
          </w:tcPr>
          <w:p w14:paraId="35784A27" w14:textId="27468FC1" w:rsidR="00A65FC9" w:rsidRPr="000412A1" w:rsidRDefault="00A65FC9" w:rsidP="00203457">
            <w:pPr>
              <w:tabs>
                <w:tab w:val="left" w:pos="567"/>
              </w:tabs>
              <w:jc w:val="center"/>
              <w:rPr>
                <w:sz w:val="22"/>
                <w:szCs w:val="22"/>
              </w:rPr>
            </w:pPr>
            <w:r w:rsidRPr="000412A1">
              <w:rPr>
                <w:bCs/>
                <w:sz w:val="22"/>
                <w:szCs w:val="22"/>
              </w:rPr>
              <w:t>3 g L</w:t>
            </w:r>
            <w:r w:rsidR="0085205B">
              <w:rPr>
                <w:bCs/>
                <w:sz w:val="22"/>
                <w:szCs w:val="22"/>
                <w:vertAlign w:val="superscript"/>
              </w:rPr>
              <w:t>–</w:t>
            </w:r>
            <w:r w:rsidRPr="000412A1">
              <w:rPr>
                <w:bCs/>
                <w:sz w:val="22"/>
                <w:szCs w:val="22"/>
                <w:vertAlign w:val="superscript"/>
              </w:rPr>
              <w:t xml:space="preserve">1 </w:t>
            </w:r>
            <w:r w:rsidRPr="000412A1">
              <w:rPr>
                <w:bCs/>
                <w:sz w:val="22"/>
                <w:szCs w:val="22"/>
              </w:rPr>
              <w:t>Na</w:t>
            </w:r>
            <w:r w:rsidRPr="000412A1">
              <w:rPr>
                <w:bCs/>
                <w:sz w:val="22"/>
                <w:szCs w:val="22"/>
                <w:vertAlign w:val="subscript"/>
              </w:rPr>
              <w:t>2</w:t>
            </w:r>
            <w:r w:rsidRPr="000412A1">
              <w:rPr>
                <w:bCs/>
                <w:sz w:val="22"/>
                <w:szCs w:val="22"/>
              </w:rPr>
              <w:t>SO</w:t>
            </w:r>
            <w:r w:rsidRPr="000412A1">
              <w:rPr>
                <w:bCs/>
                <w:sz w:val="22"/>
                <w:szCs w:val="22"/>
                <w:vertAlign w:val="subscript"/>
              </w:rPr>
              <w:t>4</w:t>
            </w:r>
          </w:p>
        </w:tc>
        <w:tc>
          <w:tcPr>
            <w:tcW w:w="1275" w:type="dxa"/>
            <w:vAlign w:val="center"/>
          </w:tcPr>
          <w:p w14:paraId="62C17C8D" w14:textId="77777777" w:rsidR="00A65FC9" w:rsidRPr="000412A1" w:rsidRDefault="00A65FC9" w:rsidP="00203457">
            <w:pPr>
              <w:tabs>
                <w:tab w:val="left" w:pos="567"/>
              </w:tabs>
              <w:jc w:val="center"/>
              <w:rPr>
                <w:bCs/>
                <w:sz w:val="22"/>
                <w:szCs w:val="22"/>
              </w:rPr>
            </w:pPr>
            <w:r w:rsidRPr="000412A1">
              <w:rPr>
                <w:bCs/>
                <w:sz w:val="22"/>
                <w:szCs w:val="22"/>
              </w:rPr>
              <w:t xml:space="preserve">5 </w:t>
            </w:r>
          </w:p>
        </w:tc>
        <w:tc>
          <w:tcPr>
            <w:tcW w:w="1276" w:type="dxa"/>
            <w:vAlign w:val="center"/>
          </w:tcPr>
          <w:p w14:paraId="33D42AE1" w14:textId="77777777" w:rsidR="00A65FC9" w:rsidRPr="000412A1" w:rsidRDefault="00A65FC9" w:rsidP="00203457">
            <w:pPr>
              <w:tabs>
                <w:tab w:val="left" w:pos="567"/>
              </w:tabs>
              <w:jc w:val="center"/>
              <w:rPr>
                <w:bCs/>
                <w:sz w:val="22"/>
                <w:szCs w:val="22"/>
              </w:rPr>
            </w:pPr>
            <w:r w:rsidRPr="000412A1">
              <w:rPr>
                <w:bCs/>
                <w:sz w:val="22"/>
                <w:szCs w:val="22"/>
              </w:rPr>
              <w:t>6.6</w:t>
            </w:r>
          </w:p>
        </w:tc>
        <w:tc>
          <w:tcPr>
            <w:tcW w:w="1418" w:type="dxa"/>
            <w:vAlign w:val="center"/>
          </w:tcPr>
          <w:p w14:paraId="6D7DC4AA" w14:textId="77777777" w:rsidR="00A65FC9" w:rsidRPr="000412A1" w:rsidRDefault="00A65FC9" w:rsidP="00203457">
            <w:pPr>
              <w:tabs>
                <w:tab w:val="left" w:pos="567"/>
              </w:tabs>
              <w:jc w:val="center"/>
              <w:rPr>
                <w:bCs/>
                <w:sz w:val="22"/>
                <w:szCs w:val="22"/>
              </w:rPr>
            </w:pPr>
            <w:r w:rsidRPr="000412A1">
              <w:rPr>
                <w:bCs/>
                <w:sz w:val="22"/>
                <w:szCs w:val="22"/>
              </w:rPr>
              <w:t>60</w:t>
            </w:r>
          </w:p>
        </w:tc>
      </w:tr>
      <w:tr w:rsidR="00A65FC9" w:rsidRPr="000412A1" w14:paraId="16C40BC2" w14:textId="77777777" w:rsidTr="009A0A82">
        <w:trPr>
          <w:trHeight w:val="20"/>
        </w:trPr>
        <w:tc>
          <w:tcPr>
            <w:tcW w:w="1560" w:type="dxa"/>
            <w:vAlign w:val="center"/>
          </w:tcPr>
          <w:p w14:paraId="39839FE9" w14:textId="77777777" w:rsidR="00A65FC9" w:rsidRPr="000412A1" w:rsidRDefault="00A65FC9" w:rsidP="00203457">
            <w:pPr>
              <w:tabs>
                <w:tab w:val="left" w:pos="567"/>
              </w:tabs>
              <w:jc w:val="center"/>
              <w:rPr>
                <w:b/>
                <w:sz w:val="22"/>
                <w:szCs w:val="22"/>
              </w:rPr>
            </w:pPr>
            <w:r w:rsidRPr="000412A1">
              <w:rPr>
                <w:b/>
                <w:sz w:val="22"/>
                <w:szCs w:val="22"/>
              </w:rPr>
              <w:t>T3</w:t>
            </w:r>
          </w:p>
        </w:tc>
        <w:tc>
          <w:tcPr>
            <w:tcW w:w="1701" w:type="dxa"/>
            <w:vAlign w:val="center"/>
          </w:tcPr>
          <w:p w14:paraId="099A8504" w14:textId="5905B129" w:rsidR="00A65FC9" w:rsidRPr="000412A1" w:rsidRDefault="00A65FC9" w:rsidP="00203457">
            <w:pPr>
              <w:tabs>
                <w:tab w:val="left" w:pos="567"/>
              </w:tabs>
              <w:jc w:val="center"/>
              <w:rPr>
                <w:sz w:val="22"/>
                <w:szCs w:val="22"/>
              </w:rPr>
            </w:pPr>
            <w:r w:rsidRPr="000412A1">
              <w:rPr>
                <w:bCs/>
                <w:sz w:val="22"/>
                <w:szCs w:val="22"/>
              </w:rPr>
              <w:t>6 g L</w:t>
            </w:r>
            <w:r w:rsidR="0085205B">
              <w:rPr>
                <w:bCs/>
                <w:sz w:val="22"/>
                <w:szCs w:val="22"/>
                <w:vertAlign w:val="superscript"/>
              </w:rPr>
              <w:t>–</w:t>
            </w:r>
            <w:r w:rsidRPr="000412A1">
              <w:rPr>
                <w:bCs/>
                <w:sz w:val="22"/>
                <w:szCs w:val="22"/>
                <w:vertAlign w:val="superscript"/>
              </w:rPr>
              <w:t xml:space="preserve">1 </w:t>
            </w:r>
            <w:r w:rsidRPr="000412A1">
              <w:rPr>
                <w:bCs/>
                <w:sz w:val="22"/>
                <w:szCs w:val="22"/>
              </w:rPr>
              <w:t>Na</w:t>
            </w:r>
            <w:r w:rsidRPr="000412A1">
              <w:rPr>
                <w:bCs/>
                <w:sz w:val="22"/>
                <w:szCs w:val="22"/>
                <w:vertAlign w:val="subscript"/>
              </w:rPr>
              <w:t>2</w:t>
            </w:r>
            <w:r w:rsidRPr="000412A1">
              <w:rPr>
                <w:bCs/>
                <w:sz w:val="22"/>
                <w:szCs w:val="22"/>
              </w:rPr>
              <w:t>SO</w:t>
            </w:r>
            <w:r w:rsidRPr="000412A1">
              <w:rPr>
                <w:bCs/>
                <w:sz w:val="22"/>
                <w:szCs w:val="22"/>
                <w:vertAlign w:val="subscript"/>
              </w:rPr>
              <w:t>4</w:t>
            </w:r>
          </w:p>
        </w:tc>
        <w:tc>
          <w:tcPr>
            <w:tcW w:w="1275" w:type="dxa"/>
            <w:vAlign w:val="center"/>
          </w:tcPr>
          <w:p w14:paraId="07ED95FD" w14:textId="77777777" w:rsidR="00A65FC9" w:rsidRPr="000412A1" w:rsidRDefault="00A65FC9" w:rsidP="00203457">
            <w:pPr>
              <w:tabs>
                <w:tab w:val="left" w:pos="567"/>
              </w:tabs>
              <w:jc w:val="center"/>
              <w:rPr>
                <w:bCs/>
                <w:sz w:val="22"/>
                <w:szCs w:val="22"/>
              </w:rPr>
            </w:pPr>
            <w:r w:rsidRPr="000412A1">
              <w:rPr>
                <w:bCs/>
                <w:sz w:val="22"/>
                <w:szCs w:val="22"/>
              </w:rPr>
              <w:t xml:space="preserve">5 </w:t>
            </w:r>
          </w:p>
        </w:tc>
        <w:tc>
          <w:tcPr>
            <w:tcW w:w="1276" w:type="dxa"/>
            <w:vAlign w:val="center"/>
          </w:tcPr>
          <w:p w14:paraId="409FD2D7" w14:textId="77777777" w:rsidR="00A65FC9" w:rsidRPr="000412A1" w:rsidRDefault="00A65FC9" w:rsidP="00203457">
            <w:pPr>
              <w:tabs>
                <w:tab w:val="left" w:pos="567"/>
              </w:tabs>
              <w:jc w:val="center"/>
              <w:rPr>
                <w:bCs/>
                <w:sz w:val="22"/>
                <w:szCs w:val="22"/>
              </w:rPr>
            </w:pPr>
            <w:r w:rsidRPr="000412A1">
              <w:rPr>
                <w:bCs/>
                <w:sz w:val="22"/>
                <w:szCs w:val="22"/>
              </w:rPr>
              <w:t>6.6</w:t>
            </w:r>
          </w:p>
        </w:tc>
        <w:tc>
          <w:tcPr>
            <w:tcW w:w="1418" w:type="dxa"/>
            <w:vAlign w:val="center"/>
          </w:tcPr>
          <w:p w14:paraId="4E686A55" w14:textId="77777777" w:rsidR="00A65FC9" w:rsidRPr="000412A1" w:rsidRDefault="00A65FC9" w:rsidP="00203457">
            <w:pPr>
              <w:tabs>
                <w:tab w:val="left" w:pos="567"/>
              </w:tabs>
              <w:jc w:val="center"/>
              <w:rPr>
                <w:bCs/>
                <w:sz w:val="22"/>
                <w:szCs w:val="22"/>
              </w:rPr>
            </w:pPr>
            <w:r w:rsidRPr="000412A1">
              <w:rPr>
                <w:bCs/>
                <w:sz w:val="22"/>
                <w:szCs w:val="22"/>
              </w:rPr>
              <w:t>60</w:t>
            </w:r>
          </w:p>
        </w:tc>
      </w:tr>
      <w:tr w:rsidR="00A65FC9" w:rsidRPr="000412A1" w14:paraId="71E78162" w14:textId="77777777" w:rsidTr="009A0A82">
        <w:trPr>
          <w:trHeight w:val="20"/>
        </w:trPr>
        <w:tc>
          <w:tcPr>
            <w:tcW w:w="1560" w:type="dxa"/>
            <w:vAlign w:val="center"/>
          </w:tcPr>
          <w:p w14:paraId="7A03D2E3" w14:textId="77777777" w:rsidR="00A65FC9" w:rsidRPr="000412A1" w:rsidRDefault="00A65FC9" w:rsidP="00203457">
            <w:pPr>
              <w:tabs>
                <w:tab w:val="left" w:pos="567"/>
              </w:tabs>
              <w:jc w:val="center"/>
              <w:rPr>
                <w:b/>
                <w:sz w:val="22"/>
                <w:szCs w:val="22"/>
              </w:rPr>
            </w:pPr>
            <w:r w:rsidRPr="000412A1">
              <w:rPr>
                <w:b/>
                <w:sz w:val="22"/>
                <w:szCs w:val="22"/>
              </w:rPr>
              <w:t>T4</w:t>
            </w:r>
          </w:p>
        </w:tc>
        <w:tc>
          <w:tcPr>
            <w:tcW w:w="1701" w:type="dxa"/>
            <w:vAlign w:val="center"/>
          </w:tcPr>
          <w:p w14:paraId="7FBE3E41" w14:textId="77777777" w:rsidR="00A65FC9" w:rsidRPr="000412A1" w:rsidRDefault="00A65FC9" w:rsidP="00203457">
            <w:pPr>
              <w:tabs>
                <w:tab w:val="left" w:pos="567"/>
              </w:tabs>
              <w:jc w:val="center"/>
              <w:rPr>
                <w:bCs/>
                <w:sz w:val="22"/>
                <w:szCs w:val="22"/>
              </w:rPr>
            </w:pPr>
            <w:r w:rsidRPr="000412A1">
              <w:rPr>
                <w:bCs/>
                <w:sz w:val="22"/>
                <w:szCs w:val="22"/>
              </w:rPr>
              <w:t>pH =4, H</w:t>
            </w:r>
            <w:r w:rsidRPr="000412A1">
              <w:rPr>
                <w:bCs/>
                <w:sz w:val="22"/>
                <w:szCs w:val="22"/>
                <w:vertAlign w:val="subscript"/>
              </w:rPr>
              <w:t>2</w:t>
            </w:r>
            <w:r w:rsidRPr="000412A1">
              <w:rPr>
                <w:bCs/>
                <w:sz w:val="22"/>
                <w:szCs w:val="22"/>
              </w:rPr>
              <w:t>SO</w:t>
            </w:r>
            <w:r w:rsidRPr="000412A1">
              <w:rPr>
                <w:bCs/>
                <w:sz w:val="22"/>
                <w:szCs w:val="22"/>
                <w:vertAlign w:val="subscript"/>
              </w:rPr>
              <w:t>4</w:t>
            </w:r>
          </w:p>
        </w:tc>
        <w:tc>
          <w:tcPr>
            <w:tcW w:w="1275" w:type="dxa"/>
            <w:vAlign w:val="center"/>
          </w:tcPr>
          <w:p w14:paraId="4067441E" w14:textId="77777777" w:rsidR="00A65FC9" w:rsidRPr="000412A1" w:rsidRDefault="00A65FC9" w:rsidP="00203457">
            <w:pPr>
              <w:tabs>
                <w:tab w:val="left" w:pos="567"/>
              </w:tabs>
              <w:jc w:val="center"/>
              <w:rPr>
                <w:bCs/>
                <w:sz w:val="22"/>
                <w:szCs w:val="22"/>
              </w:rPr>
            </w:pPr>
            <w:r w:rsidRPr="000412A1">
              <w:rPr>
                <w:bCs/>
                <w:sz w:val="22"/>
                <w:szCs w:val="22"/>
              </w:rPr>
              <w:t xml:space="preserve">5 </w:t>
            </w:r>
          </w:p>
        </w:tc>
        <w:tc>
          <w:tcPr>
            <w:tcW w:w="1276" w:type="dxa"/>
            <w:vAlign w:val="center"/>
          </w:tcPr>
          <w:p w14:paraId="54ACFA28" w14:textId="77777777" w:rsidR="00A65FC9" w:rsidRPr="000412A1" w:rsidRDefault="00A65FC9" w:rsidP="00203457">
            <w:pPr>
              <w:tabs>
                <w:tab w:val="left" w:pos="567"/>
              </w:tabs>
              <w:jc w:val="center"/>
              <w:rPr>
                <w:bCs/>
                <w:sz w:val="22"/>
                <w:szCs w:val="22"/>
              </w:rPr>
            </w:pPr>
            <w:r w:rsidRPr="000412A1">
              <w:rPr>
                <w:bCs/>
                <w:sz w:val="22"/>
                <w:szCs w:val="22"/>
              </w:rPr>
              <w:t>6.6</w:t>
            </w:r>
          </w:p>
        </w:tc>
        <w:tc>
          <w:tcPr>
            <w:tcW w:w="1418" w:type="dxa"/>
            <w:vAlign w:val="center"/>
          </w:tcPr>
          <w:p w14:paraId="0B05A069" w14:textId="77777777" w:rsidR="00A65FC9" w:rsidRPr="000412A1" w:rsidRDefault="00A65FC9" w:rsidP="00203457">
            <w:pPr>
              <w:tabs>
                <w:tab w:val="left" w:pos="567"/>
              </w:tabs>
              <w:jc w:val="center"/>
              <w:rPr>
                <w:bCs/>
                <w:sz w:val="22"/>
                <w:szCs w:val="22"/>
              </w:rPr>
            </w:pPr>
            <w:r w:rsidRPr="000412A1">
              <w:rPr>
                <w:bCs/>
                <w:sz w:val="22"/>
                <w:szCs w:val="22"/>
              </w:rPr>
              <w:t>60</w:t>
            </w:r>
          </w:p>
        </w:tc>
      </w:tr>
      <w:tr w:rsidR="00A65FC9" w:rsidRPr="000412A1" w14:paraId="6855A16D" w14:textId="77777777" w:rsidTr="009A0A82">
        <w:trPr>
          <w:trHeight w:val="20"/>
        </w:trPr>
        <w:tc>
          <w:tcPr>
            <w:tcW w:w="1560" w:type="dxa"/>
            <w:vAlign w:val="center"/>
          </w:tcPr>
          <w:p w14:paraId="595B7101" w14:textId="77777777" w:rsidR="00A65FC9" w:rsidRPr="000412A1" w:rsidRDefault="00A65FC9" w:rsidP="00203457">
            <w:pPr>
              <w:tabs>
                <w:tab w:val="left" w:pos="567"/>
              </w:tabs>
              <w:jc w:val="center"/>
              <w:rPr>
                <w:b/>
                <w:sz w:val="22"/>
                <w:szCs w:val="22"/>
              </w:rPr>
            </w:pPr>
            <w:r w:rsidRPr="000412A1">
              <w:rPr>
                <w:b/>
                <w:sz w:val="22"/>
                <w:szCs w:val="22"/>
              </w:rPr>
              <w:t>T5</w:t>
            </w:r>
          </w:p>
        </w:tc>
        <w:tc>
          <w:tcPr>
            <w:tcW w:w="1701" w:type="dxa"/>
            <w:vAlign w:val="center"/>
          </w:tcPr>
          <w:p w14:paraId="240B1C7D" w14:textId="77777777" w:rsidR="00A65FC9" w:rsidRPr="000412A1" w:rsidRDefault="00A65FC9" w:rsidP="00203457">
            <w:pPr>
              <w:tabs>
                <w:tab w:val="left" w:pos="567"/>
              </w:tabs>
              <w:ind w:right="-153"/>
              <w:jc w:val="center"/>
              <w:rPr>
                <w:bCs/>
                <w:sz w:val="22"/>
                <w:szCs w:val="22"/>
              </w:rPr>
            </w:pPr>
            <w:r w:rsidRPr="000412A1">
              <w:rPr>
                <w:bCs/>
                <w:sz w:val="22"/>
                <w:szCs w:val="22"/>
              </w:rPr>
              <w:t>pH=10, alkaline solution</w:t>
            </w:r>
          </w:p>
        </w:tc>
        <w:tc>
          <w:tcPr>
            <w:tcW w:w="1275" w:type="dxa"/>
            <w:vAlign w:val="center"/>
          </w:tcPr>
          <w:p w14:paraId="5950BB2E" w14:textId="77777777" w:rsidR="00A65FC9" w:rsidRPr="000412A1" w:rsidRDefault="00A65FC9" w:rsidP="00203457">
            <w:pPr>
              <w:tabs>
                <w:tab w:val="left" w:pos="567"/>
              </w:tabs>
              <w:jc w:val="center"/>
              <w:rPr>
                <w:bCs/>
                <w:sz w:val="22"/>
                <w:szCs w:val="22"/>
              </w:rPr>
            </w:pPr>
            <w:r w:rsidRPr="000412A1">
              <w:rPr>
                <w:bCs/>
                <w:sz w:val="22"/>
                <w:szCs w:val="22"/>
              </w:rPr>
              <w:t xml:space="preserve">5 </w:t>
            </w:r>
          </w:p>
        </w:tc>
        <w:tc>
          <w:tcPr>
            <w:tcW w:w="1276" w:type="dxa"/>
            <w:vAlign w:val="center"/>
          </w:tcPr>
          <w:p w14:paraId="0929B067" w14:textId="77777777" w:rsidR="00A65FC9" w:rsidRPr="000412A1" w:rsidRDefault="00A65FC9" w:rsidP="00203457">
            <w:pPr>
              <w:tabs>
                <w:tab w:val="left" w:pos="567"/>
              </w:tabs>
              <w:jc w:val="center"/>
              <w:rPr>
                <w:bCs/>
                <w:sz w:val="22"/>
                <w:szCs w:val="22"/>
              </w:rPr>
            </w:pPr>
            <w:r w:rsidRPr="000412A1">
              <w:rPr>
                <w:bCs/>
                <w:sz w:val="22"/>
                <w:szCs w:val="22"/>
              </w:rPr>
              <w:t>6.6</w:t>
            </w:r>
          </w:p>
        </w:tc>
        <w:tc>
          <w:tcPr>
            <w:tcW w:w="1418" w:type="dxa"/>
            <w:vAlign w:val="center"/>
          </w:tcPr>
          <w:p w14:paraId="1F6106FC" w14:textId="77777777" w:rsidR="00A65FC9" w:rsidRPr="000412A1" w:rsidRDefault="00A65FC9" w:rsidP="00203457">
            <w:pPr>
              <w:tabs>
                <w:tab w:val="left" w:pos="567"/>
              </w:tabs>
              <w:jc w:val="center"/>
              <w:rPr>
                <w:bCs/>
                <w:sz w:val="22"/>
                <w:szCs w:val="22"/>
              </w:rPr>
            </w:pPr>
            <w:r w:rsidRPr="000412A1">
              <w:rPr>
                <w:bCs/>
                <w:sz w:val="22"/>
                <w:szCs w:val="22"/>
              </w:rPr>
              <w:t>60</w:t>
            </w:r>
          </w:p>
        </w:tc>
      </w:tr>
      <w:tr w:rsidR="00A65FC9" w:rsidRPr="000412A1" w14:paraId="6281DE49" w14:textId="77777777" w:rsidTr="009A0A82">
        <w:trPr>
          <w:trHeight w:val="20"/>
        </w:trPr>
        <w:tc>
          <w:tcPr>
            <w:tcW w:w="1560" w:type="dxa"/>
            <w:tcBorders>
              <w:top w:val="single" w:sz="4" w:space="0" w:color="auto"/>
              <w:bottom w:val="single" w:sz="4" w:space="0" w:color="auto"/>
            </w:tcBorders>
            <w:vAlign w:val="center"/>
          </w:tcPr>
          <w:p w14:paraId="381EAF0F" w14:textId="6A4FE3D2" w:rsidR="00A65FC9" w:rsidRPr="000412A1" w:rsidRDefault="00A65FC9" w:rsidP="00203457">
            <w:pPr>
              <w:tabs>
                <w:tab w:val="left" w:pos="567"/>
              </w:tabs>
              <w:jc w:val="center"/>
              <w:rPr>
                <w:sz w:val="22"/>
                <w:szCs w:val="22"/>
              </w:rPr>
            </w:pPr>
            <w:r w:rsidRPr="000412A1">
              <w:rPr>
                <w:b/>
                <w:sz w:val="22"/>
                <w:szCs w:val="22"/>
              </w:rPr>
              <w:t xml:space="preserve">Digestate </w:t>
            </w:r>
            <w:r w:rsidR="00C02204" w:rsidRPr="000412A1">
              <w:rPr>
                <w:b/>
                <w:sz w:val="22"/>
                <w:szCs w:val="22"/>
              </w:rPr>
              <w:t>Post</w:t>
            </w:r>
            <w:r w:rsidRPr="000412A1">
              <w:rPr>
                <w:b/>
                <w:sz w:val="22"/>
                <w:szCs w:val="22"/>
              </w:rPr>
              <w:t>-</w:t>
            </w:r>
            <w:r w:rsidR="00C02204" w:rsidRPr="000412A1">
              <w:rPr>
                <w:b/>
                <w:sz w:val="22"/>
                <w:szCs w:val="22"/>
              </w:rPr>
              <w:t>T</w:t>
            </w:r>
            <w:r w:rsidRPr="000412A1">
              <w:rPr>
                <w:b/>
                <w:sz w:val="22"/>
                <w:szCs w:val="22"/>
              </w:rPr>
              <w:t>reatmen</w:t>
            </w:r>
            <w:r w:rsidRPr="000412A1">
              <w:rPr>
                <w:sz w:val="22"/>
                <w:szCs w:val="22"/>
              </w:rPr>
              <w:t>t</w:t>
            </w:r>
          </w:p>
        </w:tc>
        <w:tc>
          <w:tcPr>
            <w:tcW w:w="1701" w:type="dxa"/>
            <w:tcBorders>
              <w:top w:val="single" w:sz="4" w:space="0" w:color="auto"/>
              <w:bottom w:val="single" w:sz="4" w:space="0" w:color="auto"/>
            </w:tcBorders>
            <w:vAlign w:val="center"/>
          </w:tcPr>
          <w:p w14:paraId="0C2EB1D6" w14:textId="77777777" w:rsidR="00A65FC9" w:rsidRPr="000412A1" w:rsidRDefault="00A65FC9" w:rsidP="00203457">
            <w:pPr>
              <w:tabs>
                <w:tab w:val="left" w:pos="567"/>
              </w:tabs>
              <w:jc w:val="center"/>
              <w:rPr>
                <w:bCs/>
                <w:sz w:val="22"/>
                <w:szCs w:val="22"/>
              </w:rPr>
            </w:pPr>
          </w:p>
        </w:tc>
        <w:tc>
          <w:tcPr>
            <w:tcW w:w="1275" w:type="dxa"/>
            <w:tcBorders>
              <w:top w:val="single" w:sz="4" w:space="0" w:color="auto"/>
              <w:bottom w:val="single" w:sz="4" w:space="0" w:color="auto"/>
            </w:tcBorders>
            <w:vAlign w:val="center"/>
          </w:tcPr>
          <w:p w14:paraId="76691AFB" w14:textId="77777777" w:rsidR="00A65FC9" w:rsidRPr="000412A1" w:rsidRDefault="00A65FC9" w:rsidP="00203457">
            <w:pPr>
              <w:tabs>
                <w:tab w:val="left" w:pos="567"/>
              </w:tabs>
              <w:jc w:val="center"/>
              <w:rPr>
                <w:bCs/>
                <w:sz w:val="22"/>
                <w:szCs w:val="22"/>
              </w:rPr>
            </w:pPr>
          </w:p>
        </w:tc>
        <w:tc>
          <w:tcPr>
            <w:tcW w:w="1276" w:type="dxa"/>
            <w:tcBorders>
              <w:top w:val="single" w:sz="4" w:space="0" w:color="auto"/>
              <w:bottom w:val="single" w:sz="4" w:space="0" w:color="auto"/>
            </w:tcBorders>
            <w:vAlign w:val="center"/>
          </w:tcPr>
          <w:p w14:paraId="393D10E3" w14:textId="77777777" w:rsidR="00A65FC9" w:rsidRPr="000412A1" w:rsidRDefault="00A65FC9" w:rsidP="00203457">
            <w:pPr>
              <w:tabs>
                <w:tab w:val="left" w:pos="567"/>
              </w:tabs>
              <w:jc w:val="center"/>
              <w:rPr>
                <w:bCs/>
                <w:sz w:val="22"/>
                <w:szCs w:val="22"/>
              </w:rPr>
            </w:pPr>
          </w:p>
        </w:tc>
        <w:tc>
          <w:tcPr>
            <w:tcW w:w="1418" w:type="dxa"/>
            <w:tcBorders>
              <w:top w:val="single" w:sz="4" w:space="0" w:color="auto"/>
              <w:bottom w:val="single" w:sz="4" w:space="0" w:color="auto"/>
            </w:tcBorders>
            <w:vAlign w:val="center"/>
          </w:tcPr>
          <w:p w14:paraId="76BD981F" w14:textId="77777777" w:rsidR="00A65FC9" w:rsidRPr="000412A1" w:rsidRDefault="00A65FC9" w:rsidP="00203457">
            <w:pPr>
              <w:tabs>
                <w:tab w:val="left" w:pos="567"/>
              </w:tabs>
              <w:jc w:val="center"/>
              <w:rPr>
                <w:bCs/>
                <w:sz w:val="22"/>
                <w:szCs w:val="22"/>
              </w:rPr>
            </w:pPr>
          </w:p>
        </w:tc>
      </w:tr>
      <w:tr w:rsidR="00A65FC9" w:rsidRPr="000412A1" w14:paraId="0BF62062" w14:textId="77777777" w:rsidTr="009A0A82">
        <w:trPr>
          <w:trHeight w:val="20"/>
        </w:trPr>
        <w:tc>
          <w:tcPr>
            <w:tcW w:w="1560" w:type="dxa"/>
            <w:tcBorders>
              <w:top w:val="single" w:sz="4" w:space="0" w:color="auto"/>
            </w:tcBorders>
            <w:vAlign w:val="center"/>
          </w:tcPr>
          <w:p w14:paraId="2B398EA2" w14:textId="77777777" w:rsidR="00A65FC9" w:rsidRPr="000412A1" w:rsidRDefault="00A65FC9" w:rsidP="00203457">
            <w:pPr>
              <w:tabs>
                <w:tab w:val="left" w:pos="567"/>
              </w:tabs>
              <w:jc w:val="center"/>
              <w:rPr>
                <w:b/>
                <w:sz w:val="22"/>
                <w:szCs w:val="22"/>
              </w:rPr>
            </w:pPr>
            <w:r w:rsidRPr="000412A1">
              <w:rPr>
                <w:b/>
                <w:sz w:val="22"/>
                <w:szCs w:val="22"/>
              </w:rPr>
              <w:t>P1</w:t>
            </w:r>
          </w:p>
        </w:tc>
        <w:tc>
          <w:tcPr>
            <w:tcW w:w="1701" w:type="dxa"/>
            <w:tcBorders>
              <w:top w:val="single" w:sz="4" w:space="0" w:color="auto"/>
            </w:tcBorders>
            <w:vAlign w:val="center"/>
          </w:tcPr>
          <w:p w14:paraId="5A2196D8" w14:textId="77777777" w:rsidR="00A65FC9" w:rsidRPr="000412A1" w:rsidRDefault="00A65FC9" w:rsidP="00203457">
            <w:pPr>
              <w:tabs>
                <w:tab w:val="left" w:pos="567"/>
              </w:tabs>
              <w:ind w:right="-153"/>
              <w:jc w:val="center"/>
              <w:rPr>
                <w:bCs/>
                <w:sz w:val="22"/>
                <w:szCs w:val="22"/>
              </w:rPr>
            </w:pPr>
            <w:r w:rsidRPr="000412A1">
              <w:rPr>
                <w:bCs/>
                <w:sz w:val="22"/>
                <w:szCs w:val="22"/>
              </w:rPr>
              <w:t>Control</w:t>
            </w:r>
          </w:p>
        </w:tc>
        <w:tc>
          <w:tcPr>
            <w:tcW w:w="1275" w:type="dxa"/>
            <w:tcBorders>
              <w:top w:val="single" w:sz="4" w:space="0" w:color="auto"/>
            </w:tcBorders>
            <w:vAlign w:val="center"/>
          </w:tcPr>
          <w:p w14:paraId="55A4CCEF" w14:textId="77777777" w:rsidR="00A65FC9" w:rsidRPr="000412A1" w:rsidRDefault="00A65FC9" w:rsidP="00203457">
            <w:pPr>
              <w:tabs>
                <w:tab w:val="left" w:pos="567"/>
              </w:tabs>
              <w:ind w:right="-153"/>
              <w:jc w:val="center"/>
              <w:rPr>
                <w:bCs/>
                <w:sz w:val="22"/>
                <w:szCs w:val="22"/>
              </w:rPr>
            </w:pPr>
            <w:r w:rsidRPr="000412A1">
              <w:rPr>
                <w:bCs/>
                <w:sz w:val="22"/>
                <w:szCs w:val="22"/>
              </w:rPr>
              <w:t>15</w:t>
            </w:r>
          </w:p>
        </w:tc>
        <w:tc>
          <w:tcPr>
            <w:tcW w:w="1276" w:type="dxa"/>
            <w:tcBorders>
              <w:top w:val="single" w:sz="4" w:space="0" w:color="auto"/>
            </w:tcBorders>
            <w:vAlign w:val="center"/>
          </w:tcPr>
          <w:p w14:paraId="2E56DF51" w14:textId="77777777" w:rsidR="00A65FC9" w:rsidRPr="000412A1" w:rsidRDefault="00A65FC9" w:rsidP="00203457">
            <w:pPr>
              <w:tabs>
                <w:tab w:val="left" w:pos="567"/>
              </w:tabs>
              <w:ind w:right="-153"/>
              <w:jc w:val="center"/>
              <w:rPr>
                <w:bCs/>
                <w:sz w:val="22"/>
                <w:szCs w:val="22"/>
              </w:rPr>
            </w:pPr>
            <w:r w:rsidRPr="000412A1">
              <w:rPr>
                <w:bCs/>
                <w:sz w:val="22"/>
                <w:szCs w:val="22"/>
              </w:rPr>
              <w:t>5.5</w:t>
            </w:r>
          </w:p>
        </w:tc>
        <w:tc>
          <w:tcPr>
            <w:tcW w:w="1418" w:type="dxa"/>
            <w:tcBorders>
              <w:top w:val="single" w:sz="4" w:space="0" w:color="auto"/>
            </w:tcBorders>
            <w:vAlign w:val="center"/>
          </w:tcPr>
          <w:p w14:paraId="55C1EEE1" w14:textId="77777777" w:rsidR="00A65FC9" w:rsidRPr="000412A1" w:rsidRDefault="00A65FC9" w:rsidP="00203457">
            <w:pPr>
              <w:tabs>
                <w:tab w:val="left" w:pos="567"/>
              </w:tabs>
              <w:ind w:right="-153"/>
              <w:jc w:val="center"/>
              <w:rPr>
                <w:bCs/>
                <w:sz w:val="22"/>
                <w:szCs w:val="22"/>
              </w:rPr>
            </w:pPr>
            <w:r w:rsidRPr="000412A1">
              <w:rPr>
                <w:bCs/>
                <w:sz w:val="22"/>
                <w:szCs w:val="22"/>
              </w:rPr>
              <w:t>5</w:t>
            </w:r>
          </w:p>
        </w:tc>
      </w:tr>
      <w:tr w:rsidR="00A65FC9" w:rsidRPr="000412A1" w14:paraId="2F00E2B7" w14:textId="77777777" w:rsidTr="009A0A82">
        <w:trPr>
          <w:trHeight w:val="20"/>
        </w:trPr>
        <w:tc>
          <w:tcPr>
            <w:tcW w:w="1560" w:type="dxa"/>
            <w:vAlign w:val="center"/>
          </w:tcPr>
          <w:p w14:paraId="7C44FFA1" w14:textId="77777777" w:rsidR="00A65FC9" w:rsidRPr="000412A1" w:rsidRDefault="00A65FC9" w:rsidP="00203457">
            <w:pPr>
              <w:tabs>
                <w:tab w:val="left" w:pos="567"/>
              </w:tabs>
              <w:jc w:val="center"/>
              <w:rPr>
                <w:b/>
                <w:sz w:val="22"/>
                <w:szCs w:val="22"/>
              </w:rPr>
            </w:pPr>
            <w:r w:rsidRPr="000412A1">
              <w:rPr>
                <w:b/>
                <w:sz w:val="22"/>
                <w:szCs w:val="22"/>
              </w:rPr>
              <w:t>P2</w:t>
            </w:r>
          </w:p>
        </w:tc>
        <w:tc>
          <w:tcPr>
            <w:tcW w:w="1701" w:type="dxa"/>
            <w:vAlign w:val="center"/>
          </w:tcPr>
          <w:p w14:paraId="7E0FADE2" w14:textId="5E5D7FC3" w:rsidR="00A65FC9" w:rsidRPr="000412A1" w:rsidRDefault="00A65FC9" w:rsidP="00203457">
            <w:pPr>
              <w:tabs>
                <w:tab w:val="left" w:pos="567"/>
              </w:tabs>
              <w:ind w:right="-153"/>
              <w:jc w:val="center"/>
              <w:rPr>
                <w:bCs/>
                <w:sz w:val="22"/>
                <w:szCs w:val="22"/>
              </w:rPr>
            </w:pPr>
            <w:r w:rsidRPr="000412A1">
              <w:rPr>
                <w:bCs/>
                <w:sz w:val="22"/>
                <w:szCs w:val="22"/>
              </w:rPr>
              <w:t>pH</w:t>
            </w:r>
            <w:r w:rsidR="00C02204" w:rsidRPr="000412A1">
              <w:rPr>
                <w:bCs/>
                <w:sz w:val="22"/>
                <w:szCs w:val="22"/>
              </w:rPr>
              <w:t xml:space="preserve"> </w:t>
            </w:r>
            <w:r w:rsidRPr="000412A1">
              <w:rPr>
                <w:bCs/>
                <w:sz w:val="22"/>
                <w:szCs w:val="22"/>
              </w:rPr>
              <w:t>=</w:t>
            </w:r>
            <w:r w:rsidR="00C02204" w:rsidRPr="000412A1">
              <w:rPr>
                <w:bCs/>
                <w:sz w:val="22"/>
                <w:szCs w:val="22"/>
              </w:rPr>
              <w:t xml:space="preserve"> </w:t>
            </w:r>
            <w:r w:rsidRPr="000412A1">
              <w:rPr>
                <w:bCs/>
                <w:sz w:val="22"/>
                <w:szCs w:val="22"/>
              </w:rPr>
              <w:t>10, alkaline solution</w:t>
            </w:r>
          </w:p>
        </w:tc>
        <w:tc>
          <w:tcPr>
            <w:tcW w:w="1275" w:type="dxa"/>
            <w:vAlign w:val="center"/>
          </w:tcPr>
          <w:p w14:paraId="3A8EB49B" w14:textId="77777777" w:rsidR="00A65FC9" w:rsidRPr="000412A1" w:rsidRDefault="00A65FC9" w:rsidP="00203457">
            <w:pPr>
              <w:tabs>
                <w:tab w:val="left" w:pos="567"/>
              </w:tabs>
              <w:ind w:right="-153"/>
              <w:jc w:val="center"/>
              <w:rPr>
                <w:bCs/>
                <w:sz w:val="22"/>
                <w:szCs w:val="22"/>
              </w:rPr>
            </w:pPr>
            <w:r w:rsidRPr="000412A1">
              <w:rPr>
                <w:bCs/>
                <w:sz w:val="22"/>
                <w:szCs w:val="22"/>
              </w:rPr>
              <w:t>15</w:t>
            </w:r>
          </w:p>
        </w:tc>
        <w:tc>
          <w:tcPr>
            <w:tcW w:w="1276" w:type="dxa"/>
            <w:vAlign w:val="center"/>
          </w:tcPr>
          <w:p w14:paraId="0FB381BE" w14:textId="77777777" w:rsidR="00A65FC9" w:rsidRPr="000412A1" w:rsidRDefault="00A65FC9" w:rsidP="00203457">
            <w:pPr>
              <w:tabs>
                <w:tab w:val="left" w:pos="567"/>
              </w:tabs>
              <w:ind w:right="-153"/>
              <w:jc w:val="center"/>
              <w:rPr>
                <w:bCs/>
                <w:sz w:val="22"/>
                <w:szCs w:val="22"/>
              </w:rPr>
            </w:pPr>
            <w:r w:rsidRPr="000412A1">
              <w:rPr>
                <w:bCs/>
                <w:sz w:val="22"/>
                <w:szCs w:val="22"/>
              </w:rPr>
              <w:t>10.7</w:t>
            </w:r>
          </w:p>
        </w:tc>
        <w:tc>
          <w:tcPr>
            <w:tcW w:w="1418" w:type="dxa"/>
            <w:vAlign w:val="center"/>
          </w:tcPr>
          <w:p w14:paraId="74850AEC" w14:textId="77777777" w:rsidR="00A65FC9" w:rsidRPr="000412A1" w:rsidRDefault="00A65FC9" w:rsidP="00203457">
            <w:pPr>
              <w:tabs>
                <w:tab w:val="left" w:pos="567"/>
              </w:tabs>
              <w:ind w:right="-153"/>
              <w:jc w:val="center"/>
              <w:rPr>
                <w:bCs/>
                <w:sz w:val="22"/>
                <w:szCs w:val="22"/>
              </w:rPr>
            </w:pPr>
            <w:r w:rsidRPr="000412A1">
              <w:rPr>
                <w:bCs/>
                <w:sz w:val="22"/>
                <w:szCs w:val="22"/>
              </w:rPr>
              <w:t>5</w:t>
            </w:r>
          </w:p>
        </w:tc>
      </w:tr>
      <w:tr w:rsidR="00A65FC9" w:rsidRPr="000412A1" w14:paraId="11588D5B" w14:textId="77777777" w:rsidTr="009A0A82">
        <w:trPr>
          <w:trHeight w:val="20"/>
        </w:trPr>
        <w:tc>
          <w:tcPr>
            <w:tcW w:w="1560" w:type="dxa"/>
            <w:vAlign w:val="center"/>
          </w:tcPr>
          <w:p w14:paraId="50065E5F" w14:textId="77777777" w:rsidR="00A65FC9" w:rsidRPr="000412A1" w:rsidRDefault="00A65FC9" w:rsidP="00203457">
            <w:pPr>
              <w:tabs>
                <w:tab w:val="left" w:pos="567"/>
              </w:tabs>
              <w:jc w:val="center"/>
              <w:rPr>
                <w:b/>
                <w:sz w:val="22"/>
                <w:szCs w:val="22"/>
              </w:rPr>
            </w:pPr>
            <w:r w:rsidRPr="000412A1">
              <w:rPr>
                <w:b/>
                <w:sz w:val="22"/>
                <w:szCs w:val="22"/>
              </w:rPr>
              <w:t>P3</w:t>
            </w:r>
          </w:p>
        </w:tc>
        <w:tc>
          <w:tcPr>
            <w:tcW w:w="1701" w:type="dxa"/>
            <w:vAlign w:val="center"/>
          </w:tcPr>
          <w:p w14:paraId="1F5F3ED3" w14:textId="77777777" w:rsidR="00A65FC9" w:rsidRPr="000412A1" w:rsidRDefault="00A65FC9" w:rsidP="00203457">
            <w:pPr>
              <w:tabs>
                <w:tab w:val="left" w:pos="567"/>
              </w:tabs>
              <w:ind w:right="-153"/>
              <w:jc w:val="center"/>
              <w:rPr>
                <w:bCs/>
                <w:sz w:val="22"/>
                <w:szCs w:val="22"/>
              </w:rPr>
            </w:pPr>
          </w:p>
        </w:tc>
        <w:tc>
          <w:tcPr>
            <w:tcW w:w="1275" w:type="dxa"/>
            <w:vAlign w:val="center"/>
          </w:tcPr>
          <w:p w14:paraId="23F9F61A" w14:textId="77777777" w:rsidR="00A65FC9" w:rsidRPr="000412A1" w:rsidRDefault="00A65FC9" w:rsidP="00203457">
            <w:pPr>
              <w:tabs>
                <w:tab w:val="left" w:pos="567"/>
              </w:tabs>
              <w:ind w:right="-153"/>
              <w:jc w:val="center"/>
              <w:rPr>
                <w:bCs/>
                <w:sz w:val="22"/>
                <w:szCs w:val="22"/>
              </w:rPr>
            </w:pPr>
            <w:r w:rsidRPr="000412A1">
              <w:rPr>
                <w:bCs/>
                <w:sz w:val="22"/>
                <w:szCs w:val="22"/>
              </w:rPr>
              <w:t>25</w:t>
            </w:r>
          </w:p>
        </w:tc>
        <w:tc>
          <w:tcPr>
            <w:tcW w:w="1276" w:type="dxa"/>
            <w:vAlign w:val="center"/>
          </w:tcPr>
          <w:p w14:paraId="476307EE" w14:textId="77777777" w:rsidR="00A65FC9" w:rsidRPr="000412A1" w:rsidRDefault="00A65FC9" w:rsidP="00203457">
            <w:pPr>
              <w:tabs>
                <w:tab w:val="left" w:pos="567"/>
              </w:tabs>
              <w:ind w:right="-153"/>
              <w:jc w:val="center"/>
              <w:rPr>
                <w:bCs/>
                <w:sz w:val="22"/>
                <w:szCs w:val="22"/>
              </w:rPr>
            </w:pPr>
            <w:r w:rsidRPr="000412A1">
              <w:rPr>
                <w:bCs/>
                <w:sz w:val="22"/>
                <w:szCs w:val="22"/>
              </w:rPr>
              <w:t>11.4</w:t>
            </w:r>
          </w:p>
        </w:tc>
        <w:tc>
          <w:tcPr>
            <w:tcW w:w="1418" w:type="dxa"/>
            <w:vAlign w:val="center"/>
          </w:tcPr>
          <w:p w14:paraId="3D34100D" w14:textId="77777777" w:rsidR="00A65FC9" w:rsidRPr="000412A1" w:rsidRDefault="00A65FC9" w:rsidP="00203457">
            <w:pPr>
              <w:tabs>
                <w:tab w:val="left" w:pos="567"/>
              </w:tabs>
              <w:ind w:right="-153"/>
              <w:jc w:val="center"/>
              <w:rPr>
                <w:bCs/>
                <w:sz w:val="22"/>
                <w:szCs w:val="22"/>
              </w:rPr>
            </w:pPr>
            <w:r w:rsidRPr="000412A1">
              <w:rPr>
                <w:bCs/>
                <w:sz w:val="22"/>
                <w:szCs w:val="22"/>
              </w:rPr>
              <w:t>5</w:t>
            </w:r>
          </w:p>
        </w:tc>
      </w:tr>
      <w:tr w:rsidR="00A65FC9" w:rsidRPr="000412A1" w14:paraId="5A0AF2F4" w14:textId="77777777" w:rsidTr="009A0A82">
        <w:trPr>
          <w:trHeight w:val="20"/>
        </w:trPr>
        <w:tc>
          <w:tcPr>
            <w:tcW w:w="1560" w:type="dxa"/>
            <w:vAlign w:val="center"/>
          </w:tcPr>
          <w:p w14:paraId="0D338C3E" w14:textId="77777777" w:rsidR="00A65FC9" w:rsidRPr="000412A1" w:rsidRDefault="00A65FC9" w:rsidP="00203457">
            <w:pPr>
              <w:tabs>
                <w:tab w:val="left" w:pos="567"/>
              </w:tabs>
              <w:jc w:val="center"/>
              <w:rPr>
                <w:b/>
                <w:sz w:val="22"/>
                <w:szCs w:val="22"/>
              </w:rPr>
            </w:pPr>
            <w:r w:rsidRPr="000412A1">
              <w:rPr>
                <w:b/>
                <w:sz w:val="22"/>
                <w:szCs w:val="22"/>
              </w:rPr>
              <w:t>P4</w:t>
            </w:r>
          </w:p>
        </w:tc>
        <w:tc>
          <w:tcPr>
            <w:tcW w:w="1701" w:type="dxa"/>
            <w:vAlign w:val="center"/>
          </w:tcPr>
          <w:p w14:paraId="0D97D223" w14:textId="3A6F0294" w:rsidR="00A65FC9" w:rsidRPr="000412A1" w:rsidRDefault="00A65FC9" w:rsidP="00203457">
            <w:pPr>
              <w:tabs>
                <w:tab w:val="left" w:pos="567"/>
              </w:tabs>
              <w:ind w:right="-153"/>
              <w:jc w:val="center"/>
              <w:rPr>
                <w:bCs/>
                <w:sz w:val="22"/>
                <w:szCs w:val="22"/>
              </w:rPr>
            </w:pPr>
            <w:r w:rsidRPr="000412A1">
              <w:rPr>
                <w:bCs/>
                <w:sz w:val="22"/>
                <w:szCs w:val="22"/>
              </w:rPr>
              <w:t>pH</w:t>
            </w:r>
            <w:r w:rsidR="00C02204" w:rsidRPr="000412A1">
              <w:rPr>
                <w:bCs/>
                <w:sz w:val="22"/>
                <w:szCs w:val="22"/>
              </w:rPr>
              <w:t xml:space="preserve"> </w:t>
            </w:r>
            <w:r w:rsidRPr="000412A1">
              <w:rPr>
                <w:bCs/>
                <w:sz w:val="22"/>
                <w:szCs w:val="22"/>
              </w:rPr>
              <w:t>=</w:t>
            </w:r>
            <w:r w:rsidR="00C02204" w:rsidRPr="000412A1">
              <w:rPr>
                <w:bCs/>
                <w:sz w:val="22"/>
                <w:szCs w:val="22"/>
              </w:rPr>
              <w:t xml:space="preserve"> </w:t>
            </w:r>
            <w:r w:rsidRPr="000412A1">
              <w:rPr>
                <w:bCs/>
                <w:sz w:val="22"/>
                <w:szCs w:val="22"/>
              </w:rPr>
              <w:t>10, alkaline solution</w:t>
            </w:r>
          </w:p>
        </w:tc>
        <w:tc>
          <w:tcPr>
            <w:tcW w:w="1275" w:type="dxa"/>
            <w:vAlign w:val="center"/>
          </w:tcPr>
          <w:p w14:paraId="14653141" w14:textId="77777777" w:rsidR="00A65FC9" w:rsidRPr="000412A1" w:rsidRDefault="00A65FC9" w:rsidP="00203457">
            <w:pPr>
              <w:tabs>
                <w:tab w:val="left" w:pos="567"/>
              </w:tabs>
              <w:ind w:right="-153"/>
              <w:jc w:val="center"/>
              <w:rPr>
                <w:bCs/>
                <w:sz w:val="22"/>
                <w:szCs w:val="22"/>
              </w:rPr>
            </w:pPr>
            <w:r w:rsidRPr="000412A1">
              <w:rPr>
                <w:bCs/>
                <w:sz w:val="22"/>
                <w:szCs w:val="22"/>
              </w:rPr>
              <w:t>25</w:t>
            </w:r>
          </w:p>
        </w:tc>
        <w:tc>
          <w:tcPr>
            <w:tcW w:w="1276" w:type="dxa"/>
            <w:vAlign w:val="center"/>
          </w:tcPr>
          <w:p w14:paraId="091F485C" w14:textId="77777777" w:rsidR="00A65FC9" w:rsidRPr="000412A1" w:rsidRDefault="00A65FC9" w:rsidP="00203457">
            <w:pPr>
              <w:tabs>
                <w:tab w:val="left" w:pos="567"/>
              </w:tabs>
              <w:ind w:right="-153"/>
              <w:jc w:val="center"/>
              <w:rPr>
                <w:bCs/>
                <w:sz w:val="22"/>
                <w:szCs w:val="22"/>
              </w:rPr>
            </w:pPr>
            <w:r w:rsidRPr="000412A1">
              <w:rPr>
                <w:bCs/>
                <w:sz w:val="22"/>
                <w:szCs w:val="22"/>
              </w:rPr>
              <w:t>18.8</w:t>
            </w:r>
          </w:p>
        </w:tc>
        <w:tc>
          <w:tcPr>
            <w:tcW w:w="1418" w:type="dxa"/>
            <w:vAlign w:val="center"/>
          </w:tcPr>
          <w:p w14:paraId="10279850" w14:textId="77777777" w:rsidR="00A65FC9" w:rsidRPr="000412A1" w:rsidRDefault="00A65FC9" w:rsidP="00203457">
            <w:pPr>
              <w:tabs>
                <w:tab w:val="left" w:pos="567"/>
              </w:tabs>
              <w:ind w:right="-153"/>
              <w:jc w:val="center"/>
              <w:rPr>
                <w:bCs/>
                <w:sz w:val="22"/>
                <w:szCs w:val="22"/>
              </w:rPr>
            </w:pPr>
            <w:r w:rsidRPr="000412A1">
              <w:rPr>
                <w:bCs/>
                <w:sz w:val="22"/>
                <w:szCs w:val="22"/>
              </w:rPr>
              <w:t>5</w:t>
            </w:r>
          </w:p>
        </w:tc>
      </w:tr>
      <w:tr w:rsidR="00A65FC9" w:rsidRPr="000412A1" w14:paraId="6FCA3330" w14:textId="77777777" w:rsidTr="009A0A82">
        <w:trPr>
          <w:trHeight w:val="20"/>
        </w:trPr>
        <w:tc>
          <w:tcPr>
            <w:tcW w:w="1560" w:type="dxa"/>
            <w:tcBorders>
              <w:bottom w:val="single" w:sz="4" w:space="0" w:color="auto"/>
            </w:tcBorders>
            <w:vAlign w:val="center"/>
          </w:tcPr>
          <w:p w14:paraId="711755D3" w14:textId="77777777" w:rsidR="00A65FC9" w:rsidRPr="000412A1" w:rsidRDefault="00A65FC9" w:rsidP="00203457">
            <w:pPr>
              <w:tabs>
                <w:tab w:val="left" w:pos="567"/>
              </w:tabs>
              <w:jc w:val="center"/>
              <w:rPr>
                <w:b/>
                <w:sz w:val="22"/>
                <w:szCs w:val="22"/>
              </w:rPr>
            </w:pPr>
            <w:r w:rsidRPr="000412A1">
              <w:rPr>
                <w:b/>
                <w:sz w:val="22"/>
                <w:szCs w:val="22"/>
              </w:rPr>
              <w:t>P5</w:t>
            </w:r>
          </w:p>
        </w:tc>
        <w:tc>
          <w:tcPr>
            <w:tcW w:w="1701" w:type="dxa"/>
            <w:tcBorders>
              <w:bottom w:val="single" w:sz="4" w:space="0" w:color="auto"/>
            </w:tcBorders>
            <w:vAlign w:val="center"/>
          </w:tcPr>
          <w:p w14:paraId="27448208" w14:textId="77777777" w:rsidR="00A65FC9" w:rsidRPr="000412A1" w:rsidRDefault="00A65FC9" w:rsidP="00203457">
            <w:pPr>
              <w:tabs>
                <w:tab w:val="left" w:pos="567"/>
              </w:tabs>
              <w:ind w:right="-153"/>
              <w:jc w:val="center"/>
              <w:rPr>
                <w:bCs/>
                <w:sz w:val="22"/>
                <w:szCs w:val="22"/>
              </w:rPr>
            </w:pPr>
          </w:p>
        </w:tc>
        <w:tc>
          <w:tcPr>
            <w:tcW w:w="1275" w:type="dxa"/>
            <w:tcBorders>
              <w:bottom w:val="single" w:sz="4" w:space="0" w:color="auto"/>
            </w:tcBorders>
            <w:vAlign w:val="center"/>
          </w:tcPr>
          <w:p w14:paraId="0A3D227C" w14:textId="77777777" w:rsidR="00A65FC9" w:rsidRPr="000412A1" w:rsidRDefault="00A65FC9" w:rsidP="00203457">
            <w:pPr>
              <w:tabs>
                <w:tab w:val="left" w:pos="567"/>
              </w:tabs>
              <w:ind w:right="-153"/>
              <w:jc w:val="center"/>
              <w:rPr>
                <w:bCs/>
                <w:sz w:val="22"/>
                <w:szCs w:val="22"/>
              </w:rPr>
            </w:pPr>
            <w:r w:rsidRPr="000412A1">
              <w:rPr>
                <w:bCs/>
                <w:sz w:val="22"/>
                <w:szCs w:val="22"/>
              </w:rPr>
              <w:t>25</w:t>
            </w:r>
          </w:p>
        </w:tc>
        <w:tc>
          <w:tcPr>
            <w:tcW w:w="1276" w:type="dxa"/>
            <w:tcBorders>
              <w:bottom w:val="single" w:sz="4" w:space="0" w:color="auto"/>
            </w:tcBorders>
            <w:vAlign w:val="center"/>
          </w:tcPr>
          <w:p w14:paraId="66609DA6" w14:textId="77777777" w:rsidR="00A65FC9" w:rsidRPr="000412A1" w:rsidRDefault="00A65FC9" w:rsidP="00203457">
            <w:pPr>
              <w:tabs>
                <w:tab w:val="left" w:pos="567"/>
              </w:tabs>
              <w:ind w:right="-153"/>
              <w:jc w:val="center"/>
              <w:rPr>
                <w:bCs/>
                <w:sz w:val="22"/>
                <w:szCs w:val="22"/>
              </w:rPr>
            </w:pPr>
            <w:r w:rsidRPr="000412A1">
              <w:rPr>
                <w:bCs/>
                <w:sz w:val="22"/>
                <w:szCs w:val="22"/>
              </w:rPr>
              <w:t>6.8</w:t>
            </w:r>
          </w:p>
        </w:tc>
        <w:tc>
          <w:tcPr>
            <w:tcW w:w="1418" w:type="dxa"/>
            <w:tcBorders>
              <w:bottom w:val="single" w:sz="4" w:space="0" w:color="auto"/>
            </w:tcBorders>
            <w:vAlign w:val="center"/>
          </w:tcPr>
          <w:p w14:paraId="238CE8C3" w14:textId="77777777" w:rsidR="00A65FC9" w:rsidRPr="000412A1" w:rsidRDefault="00A65FC9" w:rsidP="00203457">
            <w:pPr>
              <w:tabs>
                <w:tab w:val="left" w:pos="567"/>
              </w:tabs>
              <w:ind w:right="-153"/>
              <w:jc w:val="center"/>
              <w:rPr>
                <w:bCs/>
                <w:sz w:val="22"/>
                <w:szCs w:val="22"/>
              </w:rPr>
            </w:pPr>
            <w:r w:rsidRPr="000412A1">
              <w:rPr>
                <w:bCs/>
                <w:sz w:val="22"/>
                <w:szCs w:val="22"/>
              </w:rPr>
              <w:t>60</w:t>
            </w:r>
          </w:p>
        </w:tc>
      </w:tr>
    </w:tbl>
    <w:p w14:paraId="49825B8F" w14:textId="77777777" w:rsidR="00A65FC9" w:rsidRPr="000412A1" w:rsidRDefault="00A65FC9" w:rsidP="00ED2497">
      <w:pPr>
        <w:tabs>
          <w:tab w:val="left" w:pos="567"/>
        </w:tabs>
        <w:spacing w:before="240" w:after="220" w:line="480" w:lineRule="auto"/>
        <w:rPr>
          <w:sz w:val="22"/>
          <w:szCs w:val="22"/>
        </w:rPr>
      </w:pPr>
    </w:p>
    <w:p w14:paraId="57D61865" w14:textId="3BC830A0" w:rsidR="003F2E61" w:rsidRPr="009A0A82" w:rsidRDefault="003F2E61" w:rsidP="00ED2497">
      <w:pPr>
        <w:tabs>
          <w:tab w:val="left" w:pos="567"/>
        </w:tabs>
        <w:spacing w:before="240" w:after="220" w:line="480" w:lineRule="auto"/>
        <w:rPr>
          <w:i/>
          <w:iCs/>
          <w:sz w:val="22"/>
          <w:szCs w:val="22"/>
        </w:rPr>
      </w:pPr>
      <w:r w:rsidRPr="009A0A82">
        <w:rPr>
          <w:i/>
          <w:iCs/>
          <w:sz w:val="22"/>
          <w:szCs w:val="22"/>
        </w:rPr>
        <w:t>2.2</w:t>
      </w:r>
      <w:r w:rsidR="00755C5C" w:rsidRPr="009A0A82">
        <w:rPr>
          <w:i/>
          <w:iCs/>
          <w:sz w:val="22"/>
          <w:szCs w:val="22"/>
        </w:rPr>
        <w:t>. Anaerobic</w:t>
      </w:r>
      <w:r w:rsidR="00EC0B4F">
        <w:rPr>
          <w:i/>
          <w:iCs/>
          <w:sz w:val="22"/>
          <w:szCs w:val="22"/>
        </w:rPr>
        <w:t xml:space="preserve"> </w:t>
      </w:r>
      <w:r w:rsidR="00C02204" w:rsidRPr="009A0A82">
        <w:rPr>
          <w:i/>
          <w:iCs/>
          <w:sz w:val="22"/>
          <w:szCs w:val="22"/>
        </w:rPr>
        <w:t>D</w:t>
      </w:r>
      <w:r w:rsidRPr="009A0A82">
        <w:rPr>
          <w:i/>
          <w:iCs/>
          <w:sz w:val="22"/>
          <w:szCs w:val="22"/>
        </w:rPr>
        <w:t xml:space="preserve">igestion </w:t>
      </w:r>
      <w:r w:rsidR="00C02204" w:rsidRPr="009A0A82">
        <w:rPr>
          <w:i/>
          <w:iCs/>
          <w:sz w:val="22"/>
          <w:szCs w:val="22"/>
        </w:rPr>
        <w:t>E</w:t>
      </w:r>
      <w:r w:rsidRPr="009A0A82">
        <w:rPr>
          <w:i/>
          <w:iCs/>
          <w:sz w:val="22"/>
          <w:szCs w:val="22"/>
        </w:rPr>
        <w:t>xperiments</w:t>
      </w:r>
    </w:p>
    <w:p w14:paraId="4C376704" w14:textId="4A494707" w:rsidR="00315332" w:rsidRPr="000412A1" w:rsidRDefault="00017AB6" w:rsidP="00C012DA">
      <w:pPr>
        <w:tabs>
          <w:tab w:val="left" w:pos="426"/>
        </w:tabs>
        <w:autoSpaceDE w:val="0"/>
        <w:autoSpaceDN w:val="0"/>
        <w:adjustRightInd w:val="0"/>
        <w:spacing w:line="480" w:lineRule="auto"/>
        <w:rPr>
          <w:sz w:val="22"/>
          <w:szCs w:val="22"/>
        </w:rPr>
      </w:pPr>
      <w:bookmarkStart w:id="3" w:name="OLE_LINK15"/>
      <w:r w:rsidRPr="000412A1">
        <w:rPr>
          <w:sz w:val="22"/>
          <w:szCs w:val="22"/>
        </w:rPr>
        <w:t xml:space="preserve">Batch digestion experiments were </w:t>
      </w:r>
      <w:r w:rsidR="009931E4" w:rsidRPr="000412A1">
        <w:rPr>
          <w:sz w:val="22"/>
          <w:szCs w:val="22"/>
        </w:rPr>
        <w:t xml:space="preserve">used to study the </w:t>
      </w:r>
      <w:r w:rsidRPr="000412A1">
        <w:rPr>
          <w:sz w:val="22"/>
          <w:szCs w:val="22"/>
        </w:rPr>
        <w:t xml:space="preserve">production </w:t>
      </w:r>
      <w:r w:rsidR="009931E4" w:rsidRPr="000412A1">
        <w:rPr>
          <w:sz w:val="22"/>
          <w:szCs w:val="22"/>
        </w:rPr>
        <w:t xml:space="preserve">of methane </w:t>
      </w:r>
      <w:r w:rsidR="00C51186" w:rsidRPr="000412A1">
        <w:rPr>
          <w:sz w:val="22"/>
          <w:szCs w:val="22"/>
        </w:rPr>
        <w:t xml:space="preserve">from </w:t>
      </w:r>
      <w:r w:rsidRPr="000412A1">
        <w:rPr>
          <w:sz w:val="22"/>
          <w:szCs w:val="22"/>
        </w:rPr>
        <w:t xml:space="preserve">WAS after </w:t>
      </w:r>
      <w:r w:rsidR="001E0387" w:rsidRPr="000412A1">
        <w:rPr>
          <w:sz w:val="22"/>
          <w:szCs w:val="22"/>
        </w:rPr>
        <w:t>electr</w:t>
      </w:r>
      <w:r w:rsidR="001E7DCA" w:rsidRPr="000412A1">
        <w:rPr>
          <w:sz w:val="22"/>
          <w:szCs w:val="22"/>
        </w:rPr>
        <w:t>o-o</w:t>
      </w:r>
      <w:r w:rsidR="001E0387" w:rsidRPr="000412A1">
        <w:rPr>
          <w:sz w:val="22"/>
          <w:szCs w:val="22"/>
        </w:rPr>
        <w:t>xidation</w:t>
      </w:r>
      <w:r w:rsidR="00B41B7C" w:rsidRPr="000412A1">
        <w:rPr>
          <w:sz w:val="22"/>
          <w:szCs w:val="22"/>
        </w:rPr>
        <w:t xml:space="preserve"> </w:t>
      </w:r>
      <w:proofErr w:type="spellStart"/>
      <w:r w:rsidRPr="000412A1">
        <w:rPr>
          <w:sz w:val="22"/>
          <w:szCs w:val="22"/>
        </w:rPr>
        <w:t>pretreatment</w:t>
      </w:r>
      <w:proofErr w:type="spellEnd"/>
      <w:r w:rsidRPr="000412A1">
        <w:rPr>
          <w:sz w:val="22"/>
          <w:szCs w:val="22"/>
        </w:rPr>
        <w:t>. Digested sludge was used as inoculum</w:t>
      </w:r>
      <w:r w:rsidR="006C10A9" w:rsidRPr="000412A1">
        <w:rPr>
          <w:sz w:val="22"/>
          <w:szCs w:val="22"/>
        </w:rPr>
        <w:t xml:space="preserve"> and </w:t>
      </w:r>
      <w:r w:rsidRPr="000412A1">
        <w:rPr>
          <w:sz w:val="22"/>
          <w:szCs w:val="22"/>
        </w:rPr>
        <w:t xml:space="preserve">obtained from the </w:t>
      </w:r>
      <w:r w:rsidR="00B30C7F" w:rsidRPr="000412A1">
        <w:rPr>
          <w:sz w:val="22"/>
          <w:szCs w:val="22"/>
        </w:rPr>
        <w:t xml:space="preserve">anaerobic </w:t>
      </w:r>
      <w:r w:rsidRPr="000412A1">
        <w:rPr>
          <w:sz w:val="22"/>
          <w:szCs w:val="22"/>
        </w:rPr>
        <w:t xml:space="preserve">digester of the </w:t>
      </w:r>
      <w:r w:rsidR="00C51186" w:rsidRPr="000412A1">
        <w:rPr>
          <w:sz w:val="22"/>
          <w:szCs w:val="22"/>
        </w:rPr>
        <w:t xml:space="preserve">local </w:t>
      </w:r>
      <w:r w:rsidRPr="000412A1">
        <w:rPr>
          <w:sz w:val="22"/>
          <w:szCs w:val="22"/>
        </w:rPr>
        <w:t xml:space="preserve">WWTP </w:t>
      </w:r>
      <w:r w:rsidR="00C51186" w:rsidRPr="000412A1">
        <w:rPr>
          <w:sz w:val="22"/>
          <w:szCs w:val="22"/>
        </w:rPr>
        <w:t>(</w:t>
      </w:r>
      <w:r w:rsidRPr="000412A1">
        <w:rPr>
          <w:sz w:val="22"/>
          <w:szCs w:val="22"/>
        </w:rPr>
        <w:t>León</w:t>
      </w:r>
      <w:r w:rsidR="00C51186" w:rsidRPr="000412A1">
        <w:rPr>
          <w:sz w:val="22"/>
          <w:szCs w:val="22"/>
        </w:rPr>
        <w:t xml:space="preserve">, </w:t>
      </w:r>
      <w:r w:rsidR="00B317AE" w:rsidRPr="000412A1">
        <w:rPr>
          <w:sz w:val="22"/>
          <w:szCs w:val="22"/>
        </w:rPr>
        <w:t>Spain)</w:t>
      </w:r>
      <w:r w:rsidRPr="000412A1">
        <w:rPr>
          <w:sz w:val="22"/>
          <w:szCs w:val="22"/>
        </w:rPr>
        <w:t>.</w:t>
      </w:r>
      <w:bookmarkEnd w:id="3"/>
      <w:r w:rsidR="00315332" w:rsidRPr="000412A1">
        <w:t xml:space="preserve"> </w:t>
      </w:r>
      <w:r w:rsidR="00315332" w:rsidRPr="000412A1">
        <w:rPr>
          <w:sz w:val="22"/>
        </w:rPr>
        <w:t>This sludge had a TS content of 19.3 g</w:t>
      </w:r>
      <w:r w:rsidR="003F2E61" w:rsidRPr="000412A1">
        <w:rPr>
          <w:sz w:val="22"/>
        </w:rPr>
        <w:t xml:space="preserve"> </w:t>
      </w:r>
      <w:r w:rsidR="00315332" w:rsidRPr="000412A1">
        <w:rPr>
          <w:sz w:val="22"/>
        </w:rPr>
        <w:t>L</w:t>
      </w:r>
      <w:r w:rsidR="00C02204" w:rsidRPr="000412A1">
        <w:rPr>
          <w:sz w:val="22"/>
          <w:vertAlign w:val="superscript"/>
        </w:rPr>
        <w:t>–</w:t>
      </w:r>
      <w:r w:rsidR="003F2E61" w:rsidRPr="000412A1">
        <w:rPr>
          <w:sz w:val="22"/>
          <w:vertAlign w:val="superscript"/>
        </w:rPr>
        <w:t>1</w:t>
      </w:r>
      <w:r w:rsidR="00315332" w:rsidRPr="000412A1">
        <w:rPr>
          <w:sz w:val="22"/>
        </w:rPr>
        <w:t xml:space="preserve"> and VS concentration of 11.4 g</w:t>
      </w:r>
      <w:r w:rsidR="003F2E61" w:rsidRPr="000412A1">
        <w:rPr>
          <w:sz w:val="22"/>
        </w:rPr>
        <w:t xml:space="preserve"> </w:t>
      </w:r>
      <w:r w:rsidR="00315332" w:rsidRPr="000412A1">
        <w:rPr>
          <w:sz w:val="22"/>
        </w:rPr>
        <w:t>L</w:t>
      </w:r>
      <w:r w:rsidR="00C02204" w:rsidRPr="000412A1">
        <w:rPr>
          <w:sz w:val="22"/>
          <w:vertAlign w:val="superscript"/>
        </w:rPr>
        <w:t>–</w:t>
      </w:r>
      <w:r w:rsidR="003F2E61" w:rsidRPr="000412A1">
        <w:rPr>
          <w:sz w:val="22"/>
          <w:vertAlign w:val="superscript"/>
        </w:rPr>
        <w:t>1</w:t>
      </w:r>
      <w:r w:rsidR="00315332" w:rsidRPr="000412A1">
        <w:t>.</w:t>
      </w:r>
    </w:p>
    <w:p w14:paraId="60028A95" w14:textId="77777777" w:rsidR="00315332" w:rsidRPr="000412A1" w:rsidRDefault="00315332" w:rsidP="00C012DA">
      <w:pPr>
        <w:tabs>
          <w:tab w:val="left" w:pos="426"/>
        </w:tabs>
        <w:autoSpaceDE w:val="0"/>
        <w:autoSpaceDN w:val="0"/>
        <w:adjustRightInd w:val="0"/>
        <w:spacing w:line="480" w:lineRule="auto"/>
        <w:rPr>
          <w:sz w:val="22"/>
          <w:szCs w:val="22"/>
        </w:rPr>
      </w:pPr>
    </w:p>
    <w:p w14:paraId="4C95ED92" w14:textId="577169B6" w:rsidR="00017AB6" w:rsidRPr="000412A1" w:rsidRDefault="00017AB6" w:rsidP="00C012DA">
      <w:pPr>
        <w:tabs>
          <w:tab w:val="left" w:pos="426"/>
        </w:tabs>
        <w:autoSpaceDE w:val="0"/>
        <w:autoSpaceDN w:val="0"/>
        <w:adjustRightInd w:val="0"/>
        <w:spacing w:line="480" w:lineRule="auto"/>
        <w:rPr>
          <w:sz w:val="22"/>
          <w:szCs w:val="22"/>
        </w:rPr>
      </w:pPr>
      <w:r w:rsidRPr="000412A1">
        <w:rPr>
          <w:sz w:val="22"/>
          <w:szCs w:val="22"/>
        </w:rPr>
        <w:t xml:space="preserve">Experiments were carried out in triplicate using 250 mL Erlenmeyer flasks. Flasks were filled with inoculum and substrate at a </w:t>
      </w:r>
      <w:r w:rsidR="00414B2B" w:rsidRPr="000412A1">
        <w:rPr>
          <w:sz w:val="22"/>
          <w:szCs w:val="22"/>
        </w:rPr>
        <w:t xml:space="preserve">1:1 </w:t>
      </w:r>
      <w:r w:rsidRPr="000412A1">
        <w:rPr>
          <w:sz w:val="22"/>
          <w:szCs w:val="22"/>
        </w:rPr>
        <w:t>ratio (substrate</w:t>
      </w:r>
      <w:r w:rsidR="00EC0B4F">
        <w:rPr>
          <w:sz w:val="22"/>
          <w:szCs w:val="22"/>
        </w:rPr>
        <w:t>/</w:t>
      </w:r>
      <w:r w:rsidRPr="000412A1">
        <w:rPr>
          <w:sz w:val="22"/>
          <w:szCs w:val="22"/>
        </w:rPr>
        <w:t>inoculum, expressed in VS). Tap water was added to complete the volume. Gas production</w:t>
      </w:r>
      <w:r w:rsidR="003F2E61" w:rsidRPr="000412A1">
        <w:rPr>
          <w:sz w:val="22"/>
          <w:szCs w:val="22"/>
        </w:rPr>
        <w:t xml:space="preserve"> </w:t>
      </w:r>
      <w:r w:rsidRPr="000412A1">
        <w:rPr>
          <w:sz w:val="22"/>
          <w:szCs w:val="22"/>
        </w:rPr>
        <w:t>and</w:t>
      </w:r>
      <w:r w:rsidR="003F2E61" w:rsidRPr="000412A1">
        <w:rPr>
          <w:sz w:val="22"/>
          <w:szCs w:val="22"/>
        </w:rPr>
        <w:t xml:space="preserve"> </w:t>
      </w:r>
      <w:r w:rsidRPr="000412A1">
        <w:rPr>
          <w:sz w:val="22"/>
          <w:szCs w:val="22"/>
        </w:rPr>
        <w:t>composition</w:t>
      </w:r>
      <w:r w:rsidR="00414B2B" w:rsidRPr="000412A1">
        <w:rPr>
          <w:sz w:val="22"/>
          <w:szCs w:val="22"/>
        </w:rPr>
        <w:t xml:space="preserve"> </w:t>
      </w:r>
      <w:r w:rsidR="003F2E61" w:rsidRPr="000412A1">
        <w:rPr>
          <w:sz w:val="22"/>
          <w:szCs w:val="22"/>
        </w:rPr>
        <w:t>w</w:t>
      </w:r>
      <w:r w:rsidR="008938D0" w:rsidRPr="000412A1">
        <w:rPr>
          <w:sz w:val="22"/>
          <w:szCs w:val="22"/>
        </w:rPr>
        <w:t>ere</w:t>
      </w:r>
      <w:r w:rsidR="003F2E61" w:rsidRPr="000412A1">
        <w:rPr>
          <w:sz w:val="22"/>
          <w:szCs w:val="22"/>
        </w:rPr>
        <w:t xml:space="preserve"> </w:t>
      </w:r>
      <w:r w:rsidRPr="000412A1">
        <w:rPr>
          <w:sz w:val="22"/>
          <w:szCs w:val="22"/>
        </w:rPr>
        <w:t xml:space="preserve">periodically measured. Gas volume </w:t>
      </w:r>
      <w:r w:rsidR="003B26BE" w:rsidRPr="000412A1">
        <w:rPr>
          <w:sz w:val="22"/>
          <w:szCs w:val="22"/>
        </w:rPr>
        <w:t xml:space="preserve">was </w:t>
      </w:r>
      <w:r w:rsidRPr="000412A1">
        <w:rPr>
          <w:sz w:val="22"/>
          <w:szCs w:val="22"/>
        </w:rPr>
        <w:t xml:space="preserve">measured using </w:t>
      </w:r>
      <w:r w:rsidR="003B26BE" w:rsidRPr="000412A1">
        <w:rPr>
          <w:sz w:val="22"/>
          <w:szCs w:val="22"/>
        </w:rPr>
        <w:t xml:space="preserve">a </w:t>
      </w:r>
      <w:r w:rsidRPr="000412A1">
        <w:rPr>
          <w:sz w:val="22"/>
          <w:szCs w:val="22"/>
        </w:rPr>
        <w:t>bottle gasometer</w:t>
      </w:r>
      <w:r w:rsidR="00F07AC0">
        <w:rPr>
          <w:sz w:val="22"/>
          <w:szCs w:val="22"/>
        </w:rPr>
        <w:t>,</w:t>
      </w:r>
      <w:r w:rsidRPr="000412A1">
        <w:rPr>
          <w:sz w:val="22"/>
          <w:szCs w:val="22"/>
        </w:rPr>
        <w:t xml:space="preserve"> and corrected to standard temperature and pressure (STP, 0 ºC and 100 kPa). A blank reactor containing inoculum was used to subtract background gas production. </w:t>
      </w:r>
      <w:r w:rsidR="00F07AC0">
        <w:rPr>
          <w:sz w:val="22"/>
          <w:szCs w:val="22"/>
        </w:rPr>
        <w:t>R</w:t>
      </w:r>
      <w:r w:rsidR="003B26BE" w:rsidRPr="000412A1">
        <w:rPr>
          <w:sz w:val="22"/>
          <w:szCs w:val="22"/>
        </w:rPr>
        <w:t xml:space="preserve">eactors were placed in a water bath </w:t>
      </w:r>
      <w:r w:rsidR="00F07AC0">
        <w:rPr>
          <w:sz w:val="22"/>
          <w:szCs w:val="22"/>
        </w:rPr>
        <w:t>to</w:t>
      </w:r>
      <w:r w:rsidR="00F07AC0" w:rsidRPr="000412A1">
        <w:rPr>
          <w:sz w:val="22"/>
          <w:szCs w:val="22"/>
        </w:rPr>
        <w:t xml:space="preserve"> </w:t>
      </w:r>
      <w:r w:rsidR="003B26BE" w:rsidRPr="000412A1">
        <w:rPr>
          <w:sz w:val="22"/>
          <w:szCs w:val="22"/>
        </w:rPr>
        <w:t>maintai</w:t>
      </w:r>
      <w:r w:rsidR="00F07AC0">
        <w:rPr>
          <w:sz w:val="22"/>
          <w:szCs w:val="22"/>
        </w:rPr>
        <w:t>n</w:t>
      </w:r>
      <w:r w:rsidR="003B26BE" w:rsidRPr="000412A1">
        <w:rPr>
          <w:sz w:val="22"/>
          <w:szCs w:val="22"/>
        </w:rPr>
        <w:t xml:space="preserve"> a set temperature (37</w:t>
      </w:r>
      <w:r w:rsidR="00F07AC0">
        <w:rPr>
          <w:sz w:val="22"/>
          <w:szCs w:val="22"/>
        </w:rPr>
        <w:t xml:space="preserve"> </w:t>
      </w:r>
      <w:r w:rsidR="003B26BE" w:rsidRPr="000412A1">
        <w:rPr>
          <w:sz w:val="22"/>
          <w:szCs w:val="22"/>
        </w:rPr>
        <w:t xml:space="preserve">°C ± 1). </w:t>
      </w:r>
      <w:r w:rsidRPr="000412A1">
        <w:rPr>
          <w:sz w:val="22"/>
          <w:szCs w:val="22"/>
        </w:rPr>
        <w:t xml:space="preserve">Agitation was provided </w:t>
      </w:r>
      <w:r w:rsidR="003B26BE" w:rsidRPr="000412A1">
        <w:rPr>
          <w:sz w:val="22"/>
          <w:szCs w:val="22"/>
        </w:rPr>
        <w:t>through</w:t>
      </w:r>
      <w:r w:rsidRPr="000412A1">
        <w:rPr>
          <w:sz w:val="22"/>
          <w:szCs w:val="22"/>
        </w:rPr>
        <w:t xml:space="preserve"> magnetic stirrers. Digestion systems were labelled </w:t>
      </w:r>
      <w:r w:rsidR="003F2E61" w:rsidRPr="000412A1">
        <w:rPr>
          <w:sz w:val="22"/>
          <w:szCs w:val="22"/>
        </w:rPr>
        <w:t>as shown in</w:t>
      </w:r>
      <w:r w:rsidR="00582281" w:rsidRPr="000412A1">
        <w:rPr>
          <w:sz w:val="22"/>
          <w:szCs w:val="22"/>
        </w:rPr>
        <w:t xml:space="preserve"> </w:t>
      </w:r>
      <w:r w:rsidR="00582281" w:rsidRPr="000412A1">
        <w:rPr>
          <w:sz w:val="20"/>
          <w:szCs w:val="22"/>
        </w:rPr>
        <w:fldChar w:fldCharType="begin"/>
      </w:r>
      <w:r w:rsidR="00582281" w:rsidRPr="000412A1">
        <w:rPr>
          <w:sz w:val="20"/>
          <w:szCs w:val="22"/>
        </w:rPr>
        <w:instrText xml:space="preserve"> REF _Ref32936669 \h  \* MERGEFORMAT </w:instrText>
      </w:r>
      <w:r w:rsidR="00582281" w:rsidRPr="000412A1">
        <w:rPr>
          <w:sz w:val="20"/>
          <w:szCs w:val="22"/>
        </w:rPr>
      </w:r>
      <w:r w:rsidR="00582281" w:rsidRPr="000412A1">
        <w:rPr>
          <w:sz w:val="20"/>
          <w:szCs w:val="22"/>
        </w:rPr>
        <w:fldChar w:fldCharType="separate"/>
      </w:r>
      <w:r w:rsidR="00582281" w:rsidRPr="000412A1">
        <w:rPr>
          <w:sz w:val="22"/>
        </w:rPr>
        <w:t xml:space="preserve">Table </w:t>
      </w:r>
      <w:r w:rsidR="00582281" w:rsidRPr="000412A1">
        <w:rPr>
          <w:noProof/>
          <w:sz w:val="22"/>
        </w:rPr>
        <w:t>1</w:t>
      </w:r>
      <w:r w:rsidR="00582281" w:rsidRPr="000412A1">
        <w:rPr>
          <w:sz w:val="20"/>
          <w:szCs w:val="22"/>
        </w:rPr>
        <w:fldChar w:fldCharType="end"/>
      </w:r>
      <w:r w:rsidR="00C02204" w:rsidRPr="000412A1">
        <w:rPr>
          <w:sz w:val="22"/>
          <w:szCs w:val="22"/>
        </w:rPr>
        <w:t xml:space="preserve">, </w:t>
      </w:r>
      <w:r w:rsidR="003F2E61" w:rsidRPr="000412A1">
        <w:rPr>
          <w:sz w:val="22"/>
          <w:szCs w:val="22"/>
        </w:rPr>
        <w:t xml:space="preserve">where characteristics of the different </w:t>
      </w:r>
      <w:r w:rsidR="00B67C52" w:rsidRPr="000412A1">
        <w:rPr>
          <w:sz w:val="22"/>
          <w:szCs w:val="22"/>
        </w:rPr>
        <w:t>batch</w:t>
      </w:r>
      <w:r w:rsidR="00C02204" w:rsidRPr="000412A1">
        <w:rPr>
          <w:sz w:val="22"/>
          <w:szCs w:val="22"/>
        </w:rPr>
        <w:t xml:space="preserve"> </w:t>
      </w:r>
      <w:r w:rsidR="003F2E61" w:rsidRPr="000412A1">
        <w:rPr>
          <w:sz w:val="22"/>
          <w:szCs w:val="22"/>
        </w:rPr>
        <w:t>test</w:t>
      </w:r>
      <w:r w:rsidR="00C02204" w:rsidRPr="000412A1">
        <w:rPr>
          <w:sz w:val="22"/>
          <w:szCs w:val="22"/>
        </w:rPr>
        <w:t>s</w:t>
      </w:r>
      <w:r w:rsidR="003F2E61" w:rsidRPr="000412A1">
        <w:rPr>
          <w:sz w:val="22"/>
          <w:szCs w:val="22"/>
        </w:rPr>
        <w:t xml:space="preserve"> </w:t>
      </w:r>
      <w:r w:rsidR="00C02204" w:rsidRPr="000412A1">
        <w:rPr>
          <w:sz w:val="22"/>
          <w:szCs w:val="22"/>
        </w:rPr>
        <w:t xml:space="preserve">are </w:t>
      </w:r>
      <w:r w:rsidR="003F2E61" w:rsidRPr="000412A1">
        <w:rPr>
          <w:sz w:val="22"/>
          <w:szCs w:val="22"/>
        </w:rPr>
        <w:t>described</w:t>
      </w:r>
      <w:r w:rsidR="006F722A" w:rsidRPr="000412A1">
        <w:rPr>
          <w:sz w:val="22"/>
          <w:szCs w:val="22"/>
        </w:rPr>
        <w:t xml:space="preserve">. </w:t>
      </w:r>
    </w:p>
    <w:p w14:paraId="0E4B0BBB" w14:textId="58FA8B1E" w:rsidR="00560703" w:rsidRPr="000412A1" w:rsidRDefault="00017AB6" w:rsidP="00C012DA">
      <w:pPr>
        <w:tabs>
          <w:tab w:val="left" w:pos="425"/>
        </w:tabs>
        <w:autoSpaceDE w:val="0"/>
        <w:autoSpaceDN w:val="0"/>
        <w:adjustRightInd w:val="0"/>
        <w:spacing w:line="480" w:lineRule="auto"/>
        <w:rPr>
          <w:sz w:val="22"/>
          <w:szCs w:val="22"/>
        </w:rPr>
      </w:pPr>
      <w:r w:rsidRPr="000412A1">
        <w:rPr>
          <w:sz w:val="22"/>
          <w:szCs w:val="22"/>
        </w:rPr>
        <w:tab/>
      </w:r>
    </w:p>
    <w:p w14:paraId="0F79D2CF" w14:textId="77777777" w:rsidR="00464D0E" w:rsidRPr="000412A1" w:rsidRDefault="00017AB6" w:rsidP="00C012DA">
      <w:pPr>
        <w:tabs>
          <w:tab w:val="left" w:pos="425"/>
        </w:tabs>
        <w:autoSpaceDE w:val="0"/>
        <w:autoSpaceDN w:val="0"/>
        <w:adjustRightInd w:val="0"/>
        <w:spacing w:line="480" w:lineRule="auto"/>
        <w:rPr>
          <w:sz w:val="22"/>
          <w:szCs w:val="22"/>
        </w:rPr>
      </w:pPr>
      <w:r w:rsidRPr="000412A1">
        <w:rPr>
          <w:sz w:val="22"/>
          <w:szCs w:val="22"/>
        </w:rPr>
        <w:t xml:space="preserve">Methane production was fitted to the modified </w:t>
      </w:r>
      <w:proofErr w:type="spellStart"/>
      <w:r w:rsidRPr="000412A1">
        <w:rPr>
          <w:sz w:val="22"/>
          <w:szCs w:val="22"/>
        </w:rPr>
        <w:t>Gompertz</w:t>
      </w:r>
      <w:proofErr w:type="spellEnd"/>
      <w:r w:rsidRPr="000412A1">
        <w:rPr>
          <w:sz w:val="22"/>
          <w:szCs w:val="22"/>
        </w:rPr>
        <w:t xml:space="preserve"> equation</w:t>
      </w:r>
      <w:r w:rsidR="001101CB" w:rsidRPr="000412A1">
        <w:rPr>
          <w:sz w:val="22"/>
          <w:szCs w:val="22"/>
        </w:rPr>
        <w:t>:</w:t>
      </w:r>
    </w:p>
    <w:p w14:paraId="241CF2F7" w14:textId="19107004" w:rsidR="00017AB6" w:rsidRPr="000412A1" w:rsidRDefault="00065DDB" w:rsidP="00B243EF">
      <w:pPr>
        <w:tabs>
          <w:tab w:val="left" w:pos="425"/>
        </w:tabs>
        <w:autoSpaceDE w:val="0"/>
        <w:autoSpaceDN w:val="0"/>
        <w:adjustRightInd w:val="0"/>
        <w:spacing w:line="480" w:lineRule="auto"/>
        <w:jc w:val="center"/>
        <w:rPr>
          <w:sz w:val="22"/>
          <w:szCs w:val="22"/>
        </w:rPr>
      </w:pP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max</m:t>
            </m:r>
          </m:sub>
        </m:sSub>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exp</m:t>
            </m:r>
          </m:fName>
          <m:e>
            <m:d>
              <m:dPr>
                <m:begChr m:val="["/>
                <m:endChr m:val="]"/>
                <m:ctrlPr>
                  <w:rPr>
                    <w:rFonts w:ascii="Cambria Math" w:hAnsi="Cambria Math"/>
                    <w:i/>
                    <w:sz w:val="22"/>
                    <w:szCs w:val="22"/>
                  </w:rPr>
                </m:ctrlPr>
              </m:dPr>
              <m:e>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exp</m:t>
                    </m:r>
                  </m:fName>
                  <m:e>
                    <m:d>
                      <m:dPr>
                        <m:ctrlPr>
                          <w:rPr>
                            <w:rFonts w:ascii="Cambria Math" w:hAnsi="Cambria Math"/>
                            <w:i/>
                            <w:sz w:val="22"/>
                            <w:szCs w:val="22"/>
                          </w:rPr>
                        </m:ctrlPr>
                      </m:dPr>
                      <m:e>
                        <m:f>
                          <m:fPr>
                            <m:type m:val="lin"/>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max</m:t>
                                </m:r>
                              </m:sub>
                            </m:sSub>
                            <m:r>
                              <w:rPr>
                                <w:rFonts w:ascii="Cambria Math" w:hAnsi="Cambria Math"/>
                                <w:sz w:val="22"/>
                                <w:szCs w:val="22"/>
                              </w:rPr>
                              <m:t>∙e</m:t>
                            </m:r>
                          </m:num>
                          <m:den>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max</m:t>
                                </m:r>
                              </m:sub>
                            </m:sSub>
                          </m:den>
                        </m:f>
                      </m:e>
                    </m:d>
                    <m:d>
                      <m:dPr>
                        <m:ctrlPr>
                          <w:rPr>
                            <w:rFonts w:ascii="Cambria Math" w:hAnsi="Cambria Math"/>
                            <w:i/>
                            <w:sz w:val="22"/>
                            <w:szCs w:val="22"/>
                          </w:rPr>
                        </m:ctrlPr>
                      </m:dPr>
                      <m:e>
                        <m:r>
                          <m:rPr>
                            <m:sty m:val="p"/>
                          </m:rPr>
                          <w:rPr>
                            <w:rFonts w:ascii="Cambria Math" w:hAnsi="Cambria Math"/>
                            <w:sz w:val="22"/>
                            <w:szCs w:val="22"/>
                          </w:rPr>
                          <m:t>λ-t</m:t>
                        </m:r>
                        <m:ctrlPr>
                          <w:rPr>
                            <w:rFonts w:ascii="Cambria Math" w:hAnsi="Cambria Math"/>
                            <w:sz w:val="22"/>
                            <w:szCs w:val="22"/>
                          </w:rPr>
                        </m:ctrlPr>
                      </m:e>
                    </m:d>
                    <m:r>
                      <m:rPr>
                        <m:sty m:val="p"/>
                      </m:rPr>
                      <w:rPr>
                        <w:rFonts w:ascii="Cambria Math" w:hAnsi="Cambria Math"/>
                        <w:sz w:val="22"/>
                        <w:szCs w:val="22"/>
                      </w:rPr>
                      <m:t>+1</m:t>
                    </m:r>
                  </m:e>
                </m:func>
              </m:e>
            </m:d>
          </m:e>
        </m:func>
      </m:oMath>
      <w:r w:rsidR="00F07AC0">
        <w:rPr>
          <w:sz w:val="22"/>
          <w:szCs w:val="22"/>
        </w:rPr>
        <w:t>,</w:t>
      </w:r>
      <w:r w:rsidR="00017AB6" w:rsidRPr="000412A1">
        <w:rPr>
          <w:sz w:val="22"/>
          <w:szCs w:val="22"/>
        </w:rPr>
        <w:tab/>
      </w:r>
      <w:r w:rsidR="00C47D23" w:rsidRPr="000412A1">
        <w:rPr>
          <w:sz w:val="22"/>
          <w:szCs w:val="22"/>
        </w:rPr>
        <w:tab/>
      </w:r>
      <w:r w:rsidR="003F1DAF" w:rsidRPr="000412A1">
        <w:rPr>
          <w:sz w:val="22"/>
          <w:szCs w:val="22"/>
        </w:rPr>
        <w:tab/>
      </w:r>
      <w:r w:rsidR="00C47D23" w:rsidRPr="000412A1">
        <w:rPr>
          <w:sz w:val="22"/>
          <w:szCs w:val="22"/>
        </w:rPr>
        <w:tab/>
      </w:r>
      <w:r w:rsidR="00C47D23" w:rsidRPr="000412A1">
        <w:rPr>
          <w:sz w:val="22"/>
          <w:szCs w:val="22"/>
        </w:rPr>
        <w:tab/>
      </w:r>
      <w:r w:rsidR="00017AB6" w:rsidRPr="000412A1">
        <w:rPr>
          <w:sz w:val="22"/>
          <w:szCs w:val="22"/>
        </w:rPr>
        <w:t>(</w:t>
      </w:r>
      <w:r w:rsidR="003E212A" w:rsidRPr="000412A1">
        <w:rPr>
          <w:sz w:val="22"/>
          <w:szCs w:val="22"/>
        </w:rPr>
        <w:t>3</w:t>
      </w:r>
      <w:r w:rsidR="00017AB6" w:rsidRPr="000412A1">
        <w:rPr>
          <w:sz w:val="22"/>
          <w:szCs w:val="22"/>
        </w:rPr>
        <w:t>)</w:t>
      </w:r>
    </w:p>
    <w:p w14:paraId="05A1BF42" w14:textId="77777777" w:rsidR="00017AB6" w:rsidRPr="000412A1" w:rsidRDefault="00017AB6" w:rsidP="00C012DA">
      <w:pPr>
        <w:tabs>
          <w:tab w:val="left" w:pos="425"/>
        </w:tabs>
        <w:spacing w:line="480" w:lineRule="auto"/>
        <w:rPr>
          <w:sz w:val="22"/>
          <w:szCs w:val="22"/>
        </w:rPr>
      </w:pPr>
    </w:p>
    <w:p w14:paraId="21971EA5" w14:textId="455D99E3" w:rsidR="00017AB6" w:rsidRPr="000412A1" w:rsidRDefault="00F07AC0" w:rsidP="00C012DA">
      <w:pPr>
        <w:tabs>
          <w:tab w:val="left" w:pos="425"/>
        </w:tabs>
        <w:spacing w:line="480" w:lineRule="auto"/>
        <w:rPr>
          <w:sz w:val="22"/>
          <w:szCs w:val="22"/>
        </w:rPr>
      </w:pPr>
      <w:r>
        <w:rPr>
          <w:sz w:val="22"/>
          <w:szCs w:val="22"/>
        </w:rPr>
        <w:t>w</w:t>
      </w:r>
      <w:r w:rsidR="00017AB6" w:rsidRPr="000412A1">
        <w:rPr>
          <w:sz w:val="22"/>
          <w:szCs w:val="22"/>
        </w:rPr>
        <w:t>here P</w:t>
      </w:r>
      <w:r w:rsidR="00017AB6" w:rsidRPr="000412A1">
        <w:rPr>
          <w:sz w:val="22"/>
          <w:szCs w:val="22"/>
          <w:vertAlign w:val="subscript"/>
        </w:rPr>
        <w:t>(t)</w:t>
      </w:r>
      <w:r w:rsidR="00017AB6" w:rsidRPr="000412A1">
        <w:rPr>
          <w:sz w:val="22"/>
          <w:szCs w:val="22"/>
        </w:rPr>
        <w:t xml:space="preserve"> is the cumulative methane yield (L kg</w:t>
      </w:r>
      <w:r w:rsidR="00C02204" w:rsidRPr="000412A1">
        <w:rPr>
          <w:sz w:val="22"/>
          <w:szCs w:val="22"/>
          <w:vertAlign w:val="superscript"/>
        </w:rPr>
        <w:t>–</w:t>
      </w:r>
      <w:r w:rsidR="003F2E61" w:rsidRPr="000412A1">
        <w:rPr>
          <w:sz w:val="22"/>
          <w:szCs w:val="22"/>
          <w:vertAlign w:val="superscript"/>
        </w:rPr>
        <w:t>1</w:t>
      </w:r>
      <w:r w:rsidR="003F2E61" w:rsidRPr="000412A1">
        <w:rPr>
          <w:sz w:val="22"/>
          <w:szCs w:val="22"/>
        </w:rPr>
        <w:t xml:space="preserve"> </w:t>
      </w:r>
      <w:r w:rsidR="00017AB6" w:rsidRPr="000412A1">
        <w:rPr>
          <w:sz w:val="22"/>
          <w:szCs w:val="22"/>
        </w:rPr>
        <w:t xml:space="preserve">VS); </w:t>
      </w:r>
      <w:proofErr w:type="spellStart"/>
      <w:r w:rsidR="00017AB6" w:rsidRPr="000412A1">
        <w:rPr>
          <w:sz w:val="22"/>
          <w:szCs w:val="22"/>
        </w:rPr>
        <w:t>P</w:t>
      </w:r>
      <w:r w:rsidR="00017AB6" w:rsidRPr="000412A1">
        <w:rPr>
          <w:sz w:val="22"/>
          <w:szCs w:val="22"/>
          <w:vertAlign w:val="subscript"/>
        </w:rPr>
        <w:t>max</w:t>
      </w:r>
      <w:proofErr w:type="spellEnd"/>
      <w:r w:rsidR="00017AB6" w:rsidRPr="000412A1">
        <w:rPr>
          <w:sz w:val="22"/>
          <w:szCs w:val="22"/>
          <w:vertAlign w:val="subscript"/>
        </w:rPr>
        <w:t xml:space="preserve"> </w:t>
      </w:r>
      <w:r w:rsidR="00017AB6" w:rsidRPr="000412A1">
        <w:rPr>
          <w:sz w:val="22"/>
          <w:szCs w:val="22"/>
        </w:rPr>
        <w:t>is the maxim</w:t>
      </w:r>
      <w:r>
        <w:rPr>
          <w:sz w:val="22"/>
          <w:szCs w:val="22"/>
        </w:rPr>
        <w:t>al</w:t>
      </w:r>
      <w:r w:rsidR="00017AB6" w:rsidRPr="000412A1">
        <w:rPr>
          <w:sz w:val="22"/>
          <w:szCs w:val="22"/>
        </w:rPr>
        <w:t xml:space="preserve"> methane yield (L kg</w:t>
      </w:r>
      <w:r w:rsidR="00C02204" w:rsidRPr="000412A1">
        <w:rPr>
          <w:sz w:val="22"/>
          <w:szCs w:val="22"/>
          <w:vertAlign w:val="superscript"/>
        </w:rPr>
        <w:t>–</w:t>
      </w:r>
      <w:r w:rsidR="003F2E61" w:rsidRPr="000412A1">
        <w:rPr>
          <w:sz w:val="22"/>
          <w:szCs w:val="22"/>
          <w:vertAlign w:val="superscript"/>
        </w:rPr>
        <w:t>1</w:t>
      </w:r>
      <w:r w:rsidR="003F2E61" w:rsidRPr="000412A1">
        <w:rPr>
          <w:sz w:val="22"/>
          <w:szCs w:val="22"/>
        </w:rPr>
        <w:t xml:space="preserve"> </w:t>
      </w:r>
      <w:r w:rsidR="00017AB6" w:rsidRPr="000412A1">
        <w:rPr>
          <w:sz w:val="22"/>
          <w:szCs w:val="22"/>
        </w:rPr>
        <w:t xml:space="preserve">VS), </w:t>
      </w:r>
      <w:proofErr w:type="spellStart"/>
      <w:r w:rsidR="00017AB6" w:rsidRPr="000412A1">
        <w:rPr>
          <w:sz w:val="22"/>
          <w:szCs w:val="22"/>
        </w:rPr>
        <w:t>R</w:t>
      </w:r>
      <w:r w:rsidR="00017AB6" w:rsidRPr="000412A1">
        <w:rPr>
          <w:sz w:val="22"/>
          <w:szCs w:val="22"/>
          <w:vertAlign w:val="subscript"/>
        </w:rPr>
        <w:t>max</w:t>
      </w:r>
      <w:proofErr w:type="spellEnd"/>
      <w:r w:rsidR="00017AB6" w:rsidRPr="000412A1">
        <w:rPr>
          <w:sz w:val="22"/>
          <w:szCs w:val="22"/>
        </w:rPr>
        <w:t xml:space="preserve"> is the maxim</w:t>
      </w:r>
      <w:r>
        <w:rPr>
          <w:sz w:val="22"/>
          <w:szCs w:val="22"/>
        </w:rPr>
        <w:t>al</w:t>
      </w:r>
      <w:r w:rsidR="00017AB6" w:rsidRPr="000412A1">
        <w:rPr>
          <w:sz w:val="22"/>
          <w:szCs w:val="22"/>
        </w:rPr>
        <w:t xml:space="preserve"> methane</w:t>
      </w:r>
      <w:r w:rsidR="00EC0B4F">
        <w:rPr>
          <w:sz w:val="22"/>
          <w:szCs w:val="22"/>
        </w:rPr>
        <w:t xml:space="preserve"> </w:t>
      </w:r>
      <w:r w:rsidR="00017AB6" w:rsidRPr="000412A1">
        <w:rPr>
          <w:sz w:val="22"/>
          <w:szCs w:val="22"/>
        </w:rPr>
        <w:t>production rate (L kg</w:t>
      </w:r>
      <w:r w:rsidR="00C02204" w:rsidRPr="000412A1">
        <w:rPr>
          <w:sz w:val="22"/>
          <w:szCs w:val="22"/>
          <w:vertAlign w:val="superscript"/>
        </w:rPr>
        <w:t>–</w:t>
      </w:r>
      <w:r w:rsidR="003F2E61" w:rsidRPr="000412A1">
        <w:rPr>
          <w:sz w:val="22"/>
          <w:szCs w:val="22"/>
          <w:vertAlign w:val="superscript"/>
        </w:rPr>
        <w:t xml:space="preserve">1 </w:t>
      </w:r>
      <w:r w:rsidR="00017AB6" w:rsidRPr="000412A1">
        <w:rPr>
          <w:sz w:val="22"/>
          <w:szCs w:val="22"/>
        </w:rPr>
        <w:t>VS d</w:t>
      </w:r>
      <w:r w:rsidR="00C02204" w:rsidRPr="000412A1">
        <w:rPr>
          <w:sz w:val="22"/>
          <w:szCs w:val="22"/>
          <w:vertAlign w:val="superscript"/>
        </w:rPr>
        <w:t>–</w:t>
      </w:r>
      <w:r w:rsidR="00017AB6" w:rsidRPr="000412A1">
        <w:rPr>
          <w:sz w:val="22"/>
          <w:szCs w:val="22"/>
          <w:vertAlign w:val="superscript"/>
        </w:rPr>
        <w:t>1</w:t>
      </w:r>
      <w:r w:rsidR="00017AB6" w:rsidRPr="000412A1">
        <w:rPr>
          <w:sz w:val="22"/>
          <w:szCs w:val="22"/>
        </w:rPr>
        <w:t>), λ is lag</w:t>
      </w:r>
      <w:r w:rsidR="00EC0B4F">
        <w:rPr>
          <w:sz w:val="22"/>
          <w:szCs w:val="22"/>
        </w:rPr>
        <w:t xml:space="preserve"> </w:t>
      </w:r>
      <w:r w:rsidR="00017AB6" w:rsidRPr="000412A1">
        <w:rPr>
          <w:sz w:val="22"/>
          <w:szCs w:val="22"/>
        </w:rPr>
        <w:t>phase</w:t>
      </w:r>
      <w:r w:rsidR="00C02204" w:rsidRPr="000412A1">
        <w:rPr>
          <w:sz w:val="22"/>
          <w:szCs w:val="22"/>
        </w:rPr>
        <w:t xml:space="preserve"> time</w:t>
      </w:r>
      <w:r w:rsidR="00017AB6" w:rsidRPr="000412A1">
        <w:rPr>
          <w:sz w:val="22"/>
          <w:szCs w:val="22"/>
        </w:rPr>
        <w:t xml:space="preserve"> (d)</w:t>
      </w:r>
      <w:r w:rsidR="00C02204" w:rsidRPr="000412A1">
        <w:rPr>
          <w:sz w:val="22"/>
          <w:szCs w:val="22"/>
        </w:rPr>
        <w:t>,</w:t>
      </w:r>
      <w:r w:rsidR="00017AB6" w:rsidRPr="000412A1">
        <w:rPr>
          <w:sz w:val="22"/>
          <w:szCs w:val="22"/>
        </w:rPr>
        <w:t xml:space="preserve"> and e is Euler’s number (approx. 2.718). </w:t>
      </w:r>
    </w:p>
    <w:p w14:paraId="3D7F6AF2" w14:textId="59BE0DD7" w:rsidR="00017AB6" w:rsidRPr="000412A1" w:rsidRDefault="00017AB6" w:rsidP="00C012DA">
      <w:pPr>
        <w:tabs>
          <w:tab w:val="left" w:pos="426"/>
        </w:tabs>
        <w:autoSpaceDE w:val="0"/>
        <w:autoSpaceDN w:val="0"/>
        <w:adjustRightInd w:val="0"/>
        <w:spacing w:line="480" w:lineRule="auto"/>
        <w:rPr>
          <w:sz w:val="22"/>
          <w:szCs w:val="22"/>
        </w:rPr>
      </w:pPr>
    </w:p>
    <w:p w14:paraId="11AC3017" w14:textId="32E561B2" w:rsidR="00C47D23" w:rsidRPr="009A0A82" w:rsidRDefault="00C47D23" w:rsidP="00C012DA">
      <w:pPr>
        <w:tabs>
          <w:tab w:val="left" w:pos="426"/>
        </w:tabs>
        <w:autoSpaceDE w:val="0"/>
        <w:autoSpaceDN w:val="0"/>
        <w:adjustRightInd w:val="0"/>
        <w:spacing w:line="480" w:lineRule="auto"/>
        <w:rPr>
          <w:bCs/>
          <w:i/>
          <w:iCs/>
          <w:sz w:val="22"/>
          <w:szCs w:val="22"/>
        </w:rPr>
      </w:pPr>
      <w:r w:rsidRPr="009A0A82">
        <w:rPr>
          <w:bCs/>
          <w:i/>
          <w:iCs/>
          <w:sz w:val="22"/>
          <w:szCs w:val="22"/>
        </w:rPr>
        <w:t xml:space="preserve">2.3. Analytical </w:t>
      </w:r>
      <w:r w:rsidR="00C02204" w:rsidRPr="000412A1">
        <w:rPr>
          <w:bCs/>
          <w:i/>
          <w:iCs/>
          <w:sz w:val="22"/>
          <w:szCs w:val="22"/>
        </w:rPr>
        <w:t>T</w:t>
      </w:r>
      <w:r w:rsidRPr="009A0A82">
        <w:rPr>
          <w:bCs/>
          <w:i/>
          <w:iCs/>
          <w:sz w:val="22"/>
          <w:szCs w:val="22"/>
        </w:rPr>
        <w:t>echniques</w:t>
      </w:r>
    </w:p>
    <w:p w14:paraId="3595EC8E" w14:textId="00C3F135" w:rsidR="00017AB6" w:rsidRPr="000412A1" w:rsidRDefault="0023291E" w:rsidP="0023291E">
      <w:pPr>
        <w:spacing w:before="240" w:after="220" w:line="480" w:lineRule="auto"/>
        <w:rPr>
          <w:sz w:val="22"/>
          <w:szCs w:val="22"/>
        </w:rPr>
      </w:pPr>
      <w:r w:rsidRPr="000412A1">
        <w:rPr>
          <w:sz w:val="22"/>
          <w:szCs w:val="22"/>
        </w:rPr>
        <w:t>TS,</w:t>
      </w:r>
      <w:r w:rsidR="00C47D23" w:rsidRPr="000412A1" w:rsidDel="00C47D23">
        <w:rPr>
          <w:sz w:val="22"/>
          <w:szCs w:val="22"/>
        </w:rPr>
        <w:t xml:space="preserve"> </w:t>
      </w:r>
      <w:r w:rsidR="00F3258F" w:rsidRPr="000412A1">
        <w:rPr>
          <w:sz w:val="22"/>
          <w:szCs w:val="22"/>
        </w:rPr>
        <w:t>VS</w:t>
      </w:r>
      <w:r w:rsidR="00C02204" w:rsidRPr="000412A1">
        <w:rPr>
          <w:sz w:val="22"/>
          <w:szCs w:val="22"/>
        </w:rPr>
        <w:t>,</w:t>
      </w:r>
      <w:r w:rsidR="00F3258F" w:rsidRPr="000412A1">
        <w:rPr>
          <w:sz w:val="22"/>
          <w:szCs w:val="22"/>
        </w:rPr>
        <w:t xml:space="preserve"> and pH were </w:t>
      </w:r>
      <w:r w:rsidR="00C47D23" w:rsidRPr="000412A1">
        <w:rPr>
          <w:sz w:val="22"/>
          <w:szCs w:val="22"/>
        </w:rPr>
        <w:t xml:space="preserve">measured </w:t>
      </w:r>
      <w:r w:rsidR="006E0DF1" w:rsidRPr="000412A1">
        <w:rPr>
          <w:sz w:val="22"/>
          <w:szCs w:val="22"/>
        </w:rPr>
        <w:t>as described in</w:t>
      </w:r>
      <w:r w:rsidR="006E0DF1" w:rsidRPr="000412A1">
        <w:rPr>
          <w:i/>
          <w:sz w:val="22"/>
          <w:szCs w:val="22"/>
        </w:rPr>
        <w:t xml:space="preserve"> </w:t>
      </w:r>
      <w:r w:rsidR="009E7237" w:rsidRPr="000412A1">
        <w:rPr>
          <w:sz w:val="22"/>
          <w:szCs w:val="22"/>
        </w:rPr>
        <w:fldChar w:fldCharType="begin" w:fldLock="1"/>
      </w:r>
      <w:r w:rsidR="00A07857" w:rsidRPr="000412A1">
        <w:rPr>
          <w:sz w:val="22"/>
          <w:szCs w:val="22"/>
        </w:rPr>
        <w:instrText>ADDIN CSL_CITATION { "citationItems" : [ { "id" : "ITEM-1", "itemData" : { "DOI" : "10.2105/AJPH.51.6.940-a", "ISBN" : "9780875530475", "abstract" : "With new content and over 40% of the sections updated Standard Methods for the Examination of Water and Wastewater\u2122 22nd edition provides methods for measuring the biological, chemical, and physical attributes of waters, and offers guidance for choosing among available methods for specific elements and compounds. Analysts, researchers, and regulators have relied on this peer-reviewed publication since 1905, and it remains a trusted source of accurate, proven methodology for analyzing natural waters, water supplies, and wastewaters. Published by the American Public Health Association, the American Water Works Association, and the Water Environment Federation.", "author" : [ { "dropping-particle" : "", "family" : "APHA", "given" : "", "non-dropping-particle" : "", "parse-names" : false, "suffix" : "" } ], "container-title" : "American Water Works Association/American Public Works Association/Water Environment Federation", "id" : "ITEM-1", "issued" : { "date-parts" : [ [ "2005" ] ] }, "number-of-pages" : "1469", "title" : "Standard Methods for the Examination of Water and Wastewater", "type" : "book" }, "uris" : [ "http://www.mendeley.com/documents/?uuid=c8fd02c1-6495-4603-80f2-33f18db61f08" ] } ], "mendeley" : { "formattedCitation" : "(APHA, 2005)", "manualFormatting" : "APHA, (2005)", "plainTextFormattedCitation" : "(APHA, 2005)", "previouslyFormattedCitation" : "(APHA, 2005)" }, "properties" : {  }, "schema" : "https://github.com/citation-style-language/schema/raw/master/csl-citation.json" }</w:instrText>
      </w:r>
      <w:r w:rsidR="009E7237" w:rsidRPr="000412A1">
        <w:rPr>
          <w:sz w:val="22"/>
          <w:szCs w:val="22"/>
        </w:rPr>
        <w:fldChar w:fldCharType="separate"/>
      </w:r>
      <w:r w:rsidR="00692544" w:rsidRPr="000412A1">
        <w:rPr>
          <w:noProof/>
          <w:sz w:val="22"/>
          <w:szCs w:val="22"/>
        </w:rPr>
        <w:t>APHA</w:t>
      </w:r>
      <w:r w:rsidR="00C02204" w:rsidRPr="000412A1">
        <w:rPr>
          <w:noProof/>
          <w:sz w:val="22"/>
          <w:szCs w:val="22"/>
        </w:rPr>
        <w:t xml:space="preserve"> </w:t>
      </w:r>
      <w:r w:rsidR="00692544" w:rsidRPr="000412A1">
        <w:rPr>
          <w:noProof/>
          <w:sz w:val="22"/>
          <w:szCs w:val="22"/>
        </w:rPr>
        <w:t>(2005)</w:t>
      </w:r>
      <w:r w:rsidR="009E7237" w:rsidRPr="000412A1">
        <w:rPr>
          <w:sz w:val="22"/>
          <w:szCs w:val="22"/>
        </w:rPr>
        <w:fldChar w:fldCharType="end"/>
      </w:r>
      <w:r w:rsidR="00017AB6" w:rsidRPr="000412A1">
        <w:rPr>
          <w:sz w:val="22"/>
          <w:szCs w:val="22"/>
        </w:rPr>
        <w:t xml:space="preserve">. </w:t>
      </w:r>
      <w:r w:rsidR="00C47D23" w:rsidRPr="000412A1">
        <w:rPr>
          <w:sz w:val="22"/>
          <w:szCs w:val="22"/>
        </w:rPr>
        <w:t>Total organic carbon (</w:t>
      </w:r>
      <w:r w:rsidR="00017AB6" w:rsidRPr="000412A1">
        <w:rPr>
          <w:sz w:val="22"/>
          <w:szCs w:val="22"/>
        </w:rPr>
        <w:t>TOC</w:t>
      </w:r>
      <w:r w:rsidR="00C47D23" w:rsidRPr="000412A1">
        <w:rPr>
          <w:sz w:val="22"/>
          <w:szCs w:val="22"/>
        </w:rPr>
        <w:t>)</w:t>
      </w:r>
      <w:r w:rsidR="00017AB6" w:rsidRPr="000412A1">
        <w:rPr>
          <w:sz w:val="22"/>
          <w:szCs w:val="22"/>
        </w:rPr>
        <w:t xml:space="preserve"> was </w:t>
      </w:r>
      <w:r w:rsidR="00C47D23" w:rsidRPr="000412A1">
        <w:rPr>
          <w:sz w:val="22"/>
          <w:szCs w:val="22"/>
        </w:rPr>
        <w:t xml:space="preserve">analysed using </w:t>
      </w:r>
      <w:r w:rsidR="008D5AD0" w:rsidRPr="000412A1">
        <w:rPr>
          <w:sz w:val="22"/>
          <w:szCs w:val="22"/>
        </w:rPr>
        <w:t xml:space="preserve">a </w:t>
      </w:r>
      <w:r w:rsidR="00017AB6" w:rsidRPr="000412A1">
        <w:rPr>
          <w:sz w:val="22"/>
          <w:szCs w:val="22"/>
        </w:rPr>
        <w:t>high-performance analyser multi</w:t>
      </w:r>
      <w:r w:rsidR="00C02204" w:rsidRPr="000412A1">
        <w:rPr>
          <w:sz w:val="22"/>
          <w:szCs w:val="22"/>
        </w:rPr>
        <w:t>-</w:t>
      </w:r>
      <w:r w:rsidR="00017AB6" w:rsidRPr="000412A1">
        <w:rPr>
          <w:sz w:val="22"/>
          <w:szCs w:val="22"/>
        </w:rPr>
        <w:t>N/C</w:t>
      </w:r>
      <w:r w:rsidR="00017AB6" w:rsidRPr="000412A1">
        <w:rPr>
          <w:sz w:val="22"/>
          <w:szCs w:val="22"/>
          <w:vertAlign w:val="superscript"/>
        </w:rPr>
        <w:t>®</w:t>
      </w:r>
      <w:r w:rsidR="00C02204" w:rsidRPr="000412A1">
        <w:rPr>
          <w:sz w:val="22"/>
          <w:szCs w:val="22"/>
        </w:rPr>
        <w:t xml:space="preserve">, </w:t>
      </w:r>
      <w:r w:rsidR="00C35560" w:rsidRPr="000412A1">
        <w:rPr>
          <w:sz w:val="22"/>
          <w:szCs w:val="22"/>
        </w:rPr>
        <w:t>bringing the sample</w:t>
      </w:r>
      <w:r w:rsidR="00C47D23" w:rsidRPr="000412A1">
        <w:rPr>
          <w:sz w:val="22"/>
          <w:szCs w:val="22"/>
        </w:rPr>
        <w:t xml:space="preserve"> </w:t>
      </w:r>
      <w:r w:rsidR="00C02204" w:rsidRPr="000412A1">
        <w:rPr>
          <w:sz w:val="22"/>
          <w:szCs w:val="22"/>
        </w:rPr>
        <w:t>to</w:t>
      </w:r>
      <w:r w:rsidR="00017AB6" w:rsidRPr="000412A1">
        <w:rPr>
          <w:sz w:val="22"/>
          <w:szCs w:val="22"/>
        </w:rPr>
        <w:t xml:space="preserve"> 980 </w:t>
      </w:r>
      <w:r w:rsidR="00400527" w:rsidRPr="000412A1">
        <w:rPr>
          <w:sz w:val="22"/>
          <w:szCs w:val="22"/>
        </w:rPr>
        <w:t>ºC</w:t>
      </w:r>
      <w:r w:rsidR="00017AB6" w:rsidRPr="000412A1">
        <w:rPr>
          <w:sz w:val="22"/>
          <w:szCs w:val="22"/>
        </w:rPr>
        <w:t xml:space="preserve">, </w:t>
      </w:r>
      <w:r w:rsidR="00F07AC0">
        <w:rPr>
          <w:sz w:val="22"/>
          <w:szCs w:val="22"/>
        </w:rPr>
        <w:t>and</w:t>
      </w:r>
      <w:r w:rsidR="00F07AC0" w:rsidRPr="000412A1">
        <w:rPr>
          <w:sz w:val="22"/>
          <w:szCs w:val="22"/>
        </w:rPr>
        <w:t xml:space="preserve"> </w:t>
      </w:r>
      <w:r w:rsidR="00017AB6" w:rsidRPr="000412A1">
        <w:rPr>
          <w:sz w:val="22"/>
          <w:szCs w:val="22"/>
        </w:rPr>
        <w:t xml:space="preserve">inorganic carbon </w:t>
      </w:r>
      <w:r w:rsidR="00C47D23" w:rsidRPr="000412A1">
        <w:rPr>
          <w:sz w:val="22"/>
          <w:szCs w:val="22"/>
        </w:rPr>
        <w:t>was measured by</w:t>
      </w:r>
      <w:r w:rsidR="00F07AC0" w:rsidRPr="00F07AC0">
        <w:rPr>
          <w:sz w:val="22"/>
          <w:szCs w:val="22"/>
        </w:rPr>
        <w:t xml:space="preserve"> </w:t>
      </w:r>
      <w:r w:rsidR="00F07AC0" w:rsidRPr="000412A1">
        <w:rPr>
          <w:sz w:val="22"/>
          <w:szCs w:val="22"/>
        </w:rPr>
        <w:t>sample</w:t>
      </w:r>
      <w:r w:rsidR="00C47D23" w:rsidRPr="000412A1">
        <w:rPr>
          <w:sz w:val="22"/>
          <w:szCs w:val="22"/>
        </w:rPr>
        <w:t xml:space="preserve"> </w:t>
      </w:r>
      <w:r w:rsidR="00017AB6" w:rsidRPr="000412A1">
        <w:rPr>
          <w:sz w:val="22"/>
          <w:szCs w:val="22"/>
        </w:rPr>
        <w:t xml:space="preserve">acidification </w:t>
      </w:r>
      <w:r w:rsidR="00C47D23" w:rsidRPr="000412A1">
        <w:rPr>
          <w:sz w:val="22"/>
          <w:szCs w:val="22"/>
        </w:rPr>
        <w:t xml:space="preserve">using a solution of </w:t>
      </w:r>
      <w:r w:rsidR="00017AB6" w:rsidRPr="000412A1">
        <w:rPr>
          <w:sz w:val="22"/>
          <w:szCs w:val="22"/>
        </w:rPr>
        <w:t>10% phosphoric acid (H</w:t>
      </w:r>
      <w:r w:rsidR="00017AB6" w:rsidRPr="000412A1">
        <w:rPr>
          <w:sz w:val="22"/>
          <w:szCs w:val="22"/>
          <w:vertAlign w:val="subscript"/>
        </w:rPr>
        <w:t>3</w:t>
      </w:r>
      <w:r w:rsidR="00017AB6" w:rsidRPr="000412A1">
        <w:rPr>
          <w:sz w:val="22"/>
          <w:szCs w:val="22"/>
        </w:rPr>
        <w:t>PO</w:t>
      </w:r>
      <w:r w:rsidR="00017AB6" w:rsidRPr="000412A1">
        <w:rPr>
          <w:sz w:val="22"/>
          <w:szCs w:val="22"/>
          <w:vertAlign w:val="subscript"/>
        </w:rPr>
        <w:t>4</w:t>
      </w:r>
      <w:r w:rsidR="00017AB6" w:rsidRPr="000412A1">
        <w:rPr>
          <w:sz w:val="22"/>
          <w:szCs w:val="22"/>
        </w:rPr>
        <w:t>)</w:t>
      </w:r>
      <w:r w:rsidR="00B41B7C" w:rsidRPr="000412A1">
        <w:rPr>
          <w:sz w:val="22"/>
          <w:szCs w:val="22"/>
        </w:rPr>
        <w:t xml:space="preserve"> </w:t>
      </w:r>
      <w:r w:rsidR="00A309FC" w:rsidRPr="000412A1">
        <w:rPr>
          <w:sz w:val="22"/>
          <w:szCs w:val="22"/>
        </w:rPr>
        <w:t xml:space="preserve">according to </w:t>
      </w:r>
      <w:r w:rsidR="00A309FC" w:rsidRPr="000412A1">
        <w:rPr>
          <w:sz w:val="22"/>
          <w:szCs w:val="22"/>
        </w:rPr>
        <w:fldChar w:fldCharType="begin" w:fldLock="1"/>
      </w:r>
      <w:r w:rsidR="00A07857" w:rsidRPr="000412A1">
        <w:rPr>
          <w:sz w:val="22"/>
          <w:szCs w:val="22"/>
        </w:rPr>
        <w:instrText>ADDIN CSL_CITATION { "citationItems" : [ { "id" : "ITEM-1", "itemData" : { "DOI" : "10.1016/0257-8972(95)08283-2", "ISBN" : "0750678445", "ISSN" : "02578972", "abstract" : "\u00a9 2018 John Wiley &amp; Sons Ltd. Six purified diets were formulated to contain three lipid sources, fish oil (FO), linseed oil (LO) and soybean oil (SO), at 6% diet lipid crossing two levels of vitamin E (100 and 300 mg \u03b1-tocopheryl acetate/kg diet) for each lipid source (FO100, FO300, LO100, LO300, SO100, SO300). The juvenile Chinese mitten crab, Eriocheir sinensis, respectively, fed on these diets with four replicates for 6 weeks. The crab weight gain (WG) and specific growth rate (SGR) were significantly affected by dietary lipid sources. No difference was found between the crabs fed two levels of vitamin E, but the WG and SGR were numerically higher in crab fed 300 mg/kg vitamin E than those fed the other level of vitamin E. The lipid source and vitamin E level could affect fatty acid composition in the hepatopancreas. The contents of saturated fatty acids (SAFA) and n-3HUFA were significantly higher in the crab-fed fish oil. The highest contents of n-6PUFA and n-3PUFA were found in the crab-fed soybean oil and linseed oil respectively. The contents of SAFA, n-3HUFA and n-3PUFA were higher in the 300 mg/kg vitamin E treatment. A lower malondialdehyde (MDA) content and higher phenoloxidase (PO) activity were observed in the crab fed 300 mg/kg vitamin E. The results of this study indicate that the Chinese mitten crab fed the diet with 6% fish oil and 300 mg/kg vitamin E showed better growth, antioxidant capacity and resistance to Aeromonas hydrophila.", "author" : [ { "dropping-particle" : "", "family" : "Shimadzu", "given" : "", "non-dropping-particle" : "", "parse-names" : false, "suffix" : "" } ], "container-title" : "Www.Shimadzu.Com/an/Toc", "id" : "ITEM-1", "issued" : { "date-parts" : [ [ "2017" ] ] }, "title" : "TOC Application Handbook", "type" : "article-journal" }, "uris" : [ "http://www.mendeley.com/documents/?uuid=5af21dd4-8319-4e18-966e-52feb20141b4", "http://www.mendeley.com/documents/?uuid=825bca46-0302-4a3e-a05a-9dae1c0c5ac8" ] } ], "mendeley" : { "formattedCitation" : "(Shimadzu, 2017)", "plainTextFormattedCitation" : "(Shimadzu, 2017)", "previouslyFormattedCitation" : "(Shimadzu, 2017)" }, "properties" : {  }, "schema" : "https://github.com/citation-style-language/schema/raw/master/csl-citation.json" }</w:instrText>
      </w:r>
      <w:r w:rsidR="00A309FC" w:rsidRPr="000412A1">
        <w:rPr>
          <w:sz w:val="22"/>
          <w:szCs w:val="22"/>
        </w:rPr>
        <w:fldChar w:fldCharType="separate"/>
      </w:r>
      <w:r w:rsidR="00A309FC" w:rsidRPr="000412A1">
        <w:rPr>
          <w:noProof/>
          <w:sz w:val="22"/>
          <w:szCs w:val="22"/>
        </w:rPr>
        <w:t xml:space="preserve">Shimadzu </w:t>
      </w:r>
      <w:r w:rsidR="003F4753" w:rsidRPr="000412A1">
        <w:rPr>
          <w:noProof/>
          <w:sz w:val="22"/>
          <w:szCs w:val="22"/>
        </w:rPr>
        <w:t>(</w:t>
      </w:r>
      <w:r w:rsidR="00A309FC" w:rsidRPr="000412A1">
        <w:rPr>
          <w:noProof/>
          <w:sz w:val="22"/>
          <w:szCs w:val="22"/>
        </w:rPr>
        <w:t>2017)</w:t>
      </w:r>
      <w:r w:rsidR="00A309FC" w:rsidRPr="000412A1">
        <w:rPr>
          <w:sz w:val="22"/>
          <w:szCs w:val="22"/>
        </w:rPr>
        <w:fldChar w:fldCharType="end"/>
      </w:r>
      <w:r w:rsidR="00017AB6" w:rsidRPr="000412A1">
        <w:rPr>
          <w:sz w:val="22"/>
          <w:szCs w:val="22"/>
        </w:rPr>
        <w:t xml:space="preserve">. Organic carbon </w:t>
      </w:r>
      <w:r w:rsidR="00C47D23" w:rsidRPr="000412A1">
        <w:rPr>
          <w:sz w:val="22"/>
          <w:szCs w:val="22"/>
        </w:rPr>
        <w:t xml:space="preserve">was </w:t>
      </w:r>
      <w:r w:rsidR="00017AB6" w:rsidRPr="000412A1">
        <w:rPr>
          <w:sz w:val="22"/>
          <w:szCs w:val="22"/>
        </w:rPr>
        <w:t xml:space="preserve">calculated by the difference </w:t>
      </w:r>
      <w:r w:rsidR="00293A66" w:rsidRPr="000412A1">
        <w:rPr>
          <w:sz w:val="22"/>
          <w:szCs w:val="22"/>
        </w:rPr>
        <w:t>between</w:t>
      </w:r>
      <w:r w:rsidR="00017AB6" w:rsidRPr="000412A1">
        <w:rPr>
          <w:sz w:val="22"/>
          <w:szCs w:val="22"/>
        </w:rPr>
        <w:t xml:space="preserve"> total carbon and inorganic carbon.</w:t>
      </w:r>
      <w:r w:rsidR="00F3258F" w:rsidRPr="000412A1">
        <w:rPr>
          <w:sz w:val="22"/>
          <w:szCs w:val="22"/>
        </w:rPr>
        <w:t xml:space="preserve"> COD </w:t>
      </w:r>
      <w:r w:rsidR="005A440B" w:rsidRPr="000412A1">
        <w:rPr>
          <w:sz w:val="22"/>
          <w:szCs w:val="22"/>
        </w:rPr>
        <w:t xml:space="preserve">was </w:t>
      </w:r>
      <w:r w:rsidR="00C47D23" w:rsidRPr="000412A1">
        <w:rPr>
          <w:sz w:val="22"/>
          <w:szCs w:val="22"/>
        </w:rPr>
        <w:t xml:space="preserve">measured </w:t>
      </w:r>
      <w:r w:rsidR="00A86FE1" w:rsidRPr="000412A1">
        <w:rPr>
          <w:sz w:val="22"/>
          <w:szCs w:val="22"/>
        </w:rPr>
        <w:t>using</w:t>
      </w:r>
      <w:r w:rsidR="00C47D23" w:rsidRPr="000412A1">
        <w:rPr>
          <w:sz w:val="22"/>
          <w:szCs w:val="22"/>
        </w:rPr>
        <w:t xml:space="preserve"> </w:t>
      </w:r>
      <w:r w:rsidR="005A440B" w:rsidRPr="000412A1">
        <w:rPr>
          <w:sz w:val="22"/>
          <w:szCs w:val="22"/>
        </w:rPr>
        <w:t xml:space="preserve">commercial kit </w:t>
      </w:r>
      <w:r w:rsidR="00DD369B" w:rsidRPr="000412A1">
        <w:rPr>
          <w:sz w:val="22"/>
          <w:szCs w:val="22"/>
        </w:rPr>
        <w:t xml:space="preserve">tubes </w:t>
      </w:r>
      <w:r w:rsidR="005A440B" w:rsidRPr="000412A1">
        <w:rPr>
          <w:sz w:val="22"/>
          <w:szCs w:val="22"/>
        </w:rPr>
        <w:t xml:space="preserve">LCK 514 </w:t>
      </w:r>
      <w:r w:rsidR="00585D5F" w:rsidRPr="000412A1">
        <w:rPr>
          <w:sz w:val="22"/>
          <w:szCs w:val="22"/>
        </w:rPr>
        <w:t>(</w:t>
      </w:r>
      <w:r w:rsidR="00F07AC0">
        <w:rPr>
          <w:sz w:val="22"/>
          <w:szCs w:val="22"/>
        </w:rPr>
        <w:t>l</w:t>
      </w:r>
      <w:r w:rsidR="00585D5F" w:rsidRPr="000412A1">
        <w:rPr>
          <w:sz w:val="22"/>
          <w:szCs w:val="22"/>
        </w:rPr>
        <w:t xml:space="preserve">ow </w:t>
      </w:r>
      <w:r w:rsidR="005A440B" w:rsidRPr="000412A1">
        <w:rPr>
          <w:sz w:val="22"/>
          <w:szCs w:val="22"/>
        </w:rPr>
        <w:t>range</w:t>
      </w:r>
      <w:r w:rsidR="00F07AC0">
        <w:rPr>
          <w:sz w:val="22"/>
          <w:szCs w:val="22"/>
        </w:rPr>
        <w:t xml:space="preserve"> </w:t>
      </w:r>
      <w:r w:rsidR="008D5AD0" w:rsidRPr="000412A1">
        <w:rPr>
          <w:sz w:val="22"/>
          <w:szCs w:val="22"/>
        </w:rPr>
        <w:t>1000</w:t>
      </w:r>
      <w:r w:rsidR="00C02204" w:rsidRPr="000412A1">
        <w:rPr>
          <w:sz w:val="22"/>
          <w:szCs w:val="22"/>
        </w:rPr>
        <w:t>–</w:t>
      </w:r>
      <w:r w:rsidR="008D5AD0" w:rsidRPr="000412A1">
        <w:rPr>
          <w:sz w:val="22"/>
          <w:szCs w:val="22"/>
        </w:rPr>
        <w:t>10</w:t>
      </w:r>
      <w:r w:rsidR="00C02204" w:rsidRPr="000412A1">
        <w:rPr>
          <w:sz w:val="22"/>
          <w:szCs w:val="22"/>
        </w:rPr>
        <w:t>,</w:t>
      </w:r>
      <w:r w:rsidR="008D5AD0" w:rsidRPr="000412A1">
        <w:rPr>
          <w:sz w:val="22"/>
          <w:szCs w:val="22"/>
        </w:rPr>
        <w:t>000</w:t>
      </w:r>
      <w:r w:rsidR="005A440B" w:rsidRPr="000412A1">
        <w:rPr>
          <w:sz w:val="22"/>
          <w:szCs w:val="22"/>
        </w:rPr>
        <w:t xml:space="preserve"> mg L</w:t>
      </w:r>
      <w:r w:rsidR="00C02204" w:rsidRPr="000412A1">
        <w:rPr>
          <w:sz w:val="22"/>
          <w:szCs w:val="22"/>
          <w:vertAlign w:val="superscript"/>
        </w:rPr>
        <w:t>–</w:t>
      </w:r>
      <w:r w:rsidR="005A440B" w:rsidRPr="000412A1">
        <w:rPr>
          <w:sz w:val="22"/>
          <w:szCs w:val="22"/>
          <w:vertAlign w:val="superscript"/>
        </w:rPr>
        <w:t>1</w:t>
      </w:r>
      <w:r w:rsidR="005C10F8" w:rsidRPr="000412A1">
        <w:rPr>
          <w:sz w:val="22"/>
          <w:szCs w:val="22"/>
        </w:rPr>
        <w:t>, H</w:t>
      </w:r>
      <w:r w:rsidR="00113FAF" w:rsidRPr="000412A1">
        <w:rPr>
          <w:sz w:val="22"/>
          <w:szCs w:val="22"/>
        </w:rPr>
        <w:t>ach</w:t>
      </w:r>
      <w:r w:rsidR="005C10F8" w:rsidRPr="000412A1">
        <w:rPr>
          <w:sz w:val="22"/>
          <w:szCs w:val="22"/>
        </w:rPr>
        <w:t>)</w:t>
      </w:r>
      <w:r w:rsidR="00DD369B" w:rsidRPr="000412A1">
        <w:rPr>
          <w:sz w:val="22"/>
          <w:szCs w:val="22"/>
        </w:rPr>
        <w:t xml:space="preserve">, measured </w:t>
      </w:r>
      <w:r w:rsidR="005C10F8" w:rsidRPr="000412A1">
        <w:rPr>
          <w:sz w:val="22"/>
          <w:szCs w:val="22"/>
        </w:rPr>
        <w:t xml:space="preserve">in </w:t>
      </w:r>
      <w:r w:rsidR="00C47D23" w:rsidRPr="000412A1">
        <w:rPr>
          <w:sz w:val="22"/>
          <w:szCs w:val="22"/>
        </w:rPr>
        <w:t xml:space="preserve">a </w:t>
      </w:r>
      <w:r w:rsidR="00DD369B" w:rsidRPr="000412A1">
        <w:rPr>
          <w:sz w:val="22"/>
          <w:szCs w:val="22"/>
        </w:rPr>
        <w:t>DR 3900</w:t>
      </w:r>
      <w:r w:rsidR="00F07AC0" w:rsidRPr="00F07AC0">
        <w:rPr>
          <w:sz w:val="22"/>
          <w:szCs w:val="22"/>
        </w:rPr>
        <w:t xml:space="preserve"> </w:t>
      </w:r>
      <w:r w:rsidR="00F07AC0" w:rsidRPr="000412A1">
        <w:rPr>
          <w:sz w:val="22"/>
          <w:szCs w:val="22"/>
        </w:rPr>
        <w:t>spectrophotometer</w:t>
      </w:r>
      <w:r w:rsidR="005C10F8" w:rsidRPr="000412A1">
        <w:rPr>
          <w:sz w:val="22"/>
          <w:szCs w:val="22"/>
        </w:rPr>
        <w:t xml:space="preserve"> (H</w:t>
      </w:r>
      <w:r w:rsidR="005E6378" w:rsidRPr="000412A1">
        <w:rPr>
          <w:sz w:val="22"/>
          <w:szCs w:val="22"/>
        </w:rPr>
        <w:t>ach</w:t>
      </w:r>
      <w:r w:rsidR="005C10F8" w:rsidRPr="000412A1">
        <w:rPr>
          <w:sz w:val="22"/>
          <w:szCs w:val="22"/>
        </w:rPr>
        <w:t>)</w:t>
      </w:r>
      <w:r w:rsidR="00DD369B" w:rsidRPr="000412A1">
        <w:rPr>
          <w:sz w:val="22"/>
          <w:szCs w:val="22"/>
        </w:rPr>
        <w:t xml:space="preserve">. </w:t>
      </w:r>
    </w:p>
    <w:p w14:paraId="53A0D45C" w14:textId="24F0CB2C" w:rsidR="00017AB6" w:rsidRPr="000412A1" w:rsidRDefault="00017AB6" w:rsidP="009F131E">
      <w:pPr>
        <w:spacing w:before="240" w:after="220" w:line="480" w:lineRule="auto"/>
        <w:rPr>
          <w:sz w:val="22"/>
          <w:szCs w:val="22"/>
        </w:rPr>
      </w:pPr>
      <w:r w:rsidRPr="000412A1">
        <w:rPr>
          <w:sz w:val="22"/>
          <w:szCs w:val="22"/>
        </w:rPr>
        <w:t xml:space="preserve">Biogas was measured </w:t>
      </w:r>
      <w:r w:rsidR="00C47D23" w:rsidRPr="000412A1">
        <w:rPr>
          <w:sz w:val="22"/>
          <w:szCs w:val="22"/>
        </w:rPr>
        <w:t xml:space="preserve">using </w:t>
      </w:r>
      <w:r w:rsidR="00670FD7" w:rsidRPr="000412A1">
        <w:rPr>
          <w:sz w:val="22"/>
          <w:szCs w:val="22"/>
        </w:rPr>
        <w:t xml:space="preserve">gas chromatography (CP-3800 GC, </w:t>
      </w:r>
      <w:r w:rsidRPr="000412A1">
        <w:rPr>
          <w:sz w:val="22"/>
          <w:szCs w:val="22"/>
        </w:rPr>
        <w:t>Varian</w:t>
      </w:r>
      <w:r w:rsidR="00670FD7" w:rsidRPr="000412A1">
        <w:rPr>
          <w:sz w:val="22"/>
          <w:szCs w:val="22"/>
        </w:rPr>
        <w:t>)</w:t>
      </w:r>
      <w:r w:rsidRPr="000412A1">
        <w:rPr>
          <w:sz w:val="22"/>
          <w:szCs w:val="22"/>
        </w:rPr>
        <w:t xml:space="preserve"> with a thermal</w:t>
      </w:r>
      <w:r w:rsidR="00EC0B4F">
        <w:rPr>
          <w:sz w:val="22"/>
          <w:szCs w:val="22"/>
        </w:rPr>
        <w:t xml:space="preserve"> </w:t>
      </w:r>
      <w:r w:rsidRPr="000412A1">
        <w:rPr>
          <w:sz w:val="22"/>
          <w:szCs w:val="22"/>
        </w:rPr>
        <w:t xml:space="preserve">conductivity detector (TCD). </w:t>
      </w:r>
      <w:r w:rsidR="00C47D23" w:rsidRPr="000412A1">
        <w:rPr>
          <w:sz w:val="22"/>
          <w:szCs w:val="22"/>
        </w:rPr>
        <w:t xml:space="preserve">Measurement of </w:t>
      </w:r>
      <w:r w:rsidRPr="000412A1">
        <w:rPr>
          <w:sz w:val="22"/>
          <w:szCs w:val="22"/>
        </w:rPr>
        <w:t>H</w:t>
      </w:r>
      <w:r w:rsidRPr="000412A1">
        <w:rPr>
          <w:sz w:val="22"/>
          <w:szCs w:val="22"/>
          <w:vertAlign w:val="subscript"/>
        </w:rPr>
        <w:t>2</w:t>
      </w:r>
      <w:r w:rsidRPr="000412A1">
        <w:rPr>
          <w:sz w:val="22"/>
          <w:szCs w:val="22"/>
        </w:rPr>
        <w:t>, CH</w:t>
      </w:r>
      <w:r w:rsidRPr="000412A1">
        <w:rPr>
          <w:sz w:val="22"/>
          <w:szCs w:val="22"/>
          <w:vertAlign w:val="subscript"/>
        </w:rPr>
        <w:t>4</w:t>
      </w:r>
      <w:r w:rsidRPr="000412A1">
        <w:rPr>
          <w:sz w:val="22"/>
          <w:szCs w:val="22"/>
        </w:rPr>
        <w:t>, CO</w:t>
      </w:r>
      <w:r w:rsidRPr="000412A1">
        <w:rPr>
          <w:sz w:val="22"/>
          <w:szCs w:val="22"/>
          <w:vertAlign w:val="subscript"/>
        </w:rPr>
        <w:t>2</w:t>
      </w:r>
      <w:r w:rsidRPr="000412A1">
        <w:rPr>
          <w:sz w:val="22"/>
          <w:szCs w:val="22"/>
        </w:rPr>
        <w:t>, N</w:t>
      </w:r>
      <w:r w:rsidRPr="000412A1">
        <w:rPr>
          <w:sz w:val="22"/>
          <w:szCs w:val="22"/>
          <w:vertAlign w:val="subscript"/>
        </w:rPr>
        <w:t>2</w:t>
      </w:r>
      <w:r w:rsidR="00F07AC0">
        <w:rPr>
          <w:sz w:val="22"/>
          <w:szCs w:val="22"/>
        </w:rPr>
        <w:t>, and</w:t>
      </w:r>
      <w:r w:rsidRPr="000412A1">
        <w:rPr>
          <w:sz w:val="22"/>
          <w:szCs w:val="22"/>
        </w:rPr>
        <w:t xml:space="preserve"> O</w:t>
      </w:r>
      <w:r w:rsidRPr="000412A1">
        <w:rPr>
          <w:sz w:val="22"/>
          <w:szCs w:val="22"/>
          <w:vertAlign w:val="subscript"/>
        </w:rPr>
        <w:t xml:space="preserve">2 </w:t>
      </w:r>
      <w:r w:rsidR="00400527" w:rsidRPr="000412A1">
        <w:rPr>
          <w:sz w:val="22"/>
          <w:szCs w:val="22"/>
        </w:rPr>
        <w:t xml:space="preserve">was </w:t>
      </w:r>
      <w:r w:rsidR="002751DC" w:rsidRPr="000412A1">
        <w:rPr>
          <w:sz w:val="22"/>
          <w:szCs w:val="22"/>
        </w:rPr>
        <w:t>performed</w:t>
      </w:r>
      <w:r w:rsidR="00670FD7" w:rsidRPr="000412A1">
        <w:rPr>
          <w:sz w:val="22"/>
          <w:szCs w:val="22"/>
        </w:rPr>
        <w:t xml:space="preserve"> </w:t>
      </w:r>
      <w:r w:rsidR="00400527" w:rsidRPr="000412A1">
        <w:rPr>
          <w:sz w:val="22"/>
          <w:szCs w:val="22"/>
        </w:rPr>
        <w:t xml:space="preserve">using a </w:t>
      </w:r>
      <w:proofErr w:type="spellStart"/>
      <w:r w:rsidRPr="000412A1">
        <w:rPr>
          <w:sz w:val="22"/>
          <w:szCs w:val="22"/>
        </w:rPr>
        <w:t>HayeSep</w:t>
      </w:r>
      <w:proofErr w:type="spellEnd"/>
      <w:r w:rsidRPr="000412A1">
        <w:rPr>
          <w:sz w:val="22"/>
          <w:szCs w:val="22"/>
        </w:rPr>
        <w:t xml:space="preserve"> Q 80/100 </w:t>
      </w:r>
      <w:r w:rsidR="00400527" w:rsidRPr="000412A1">
        <w:rPr>
          <w:sz w:val="22"/>
          <w:szCs w:val="22"/>
        </w:rPr>
        <w:t xml:space="preserve">column of </w:t>
      </w:r>
      <w:r w:rsidRPr="000412A1">
        <w:rPr>
          <w:sz w:val="22"/>
          <w:szCs w:val="22"/>
        </w:rPr>
        <w:t xml:space="preserve">4 m length </w:t>
      </w:r>
      <w:r w:rsidR="00240F8B" w:rsidRPr="000412A1">
        <w:rPr>
          <w:sz w:val="22"/>
          <w:szCs w:val="22"/>
        </w:rPr>
        <w:t>attached to</w:t>
      </w:r>
      <w:r w:rsidR="00400527" w:rsidRPr="000412A1">
        <w:rPr>
          <w:sz w:val="22"/>
          <w:szCs w:val="22"/>
        </w:rPr>
        <w:t xml:space="preserve"> a m</w:t>
      </w:r>
      <w:r w:rsidRPr="000412A1">
        <w:rPr>
          <w:sz w:val="22"/>
          <w:szCs w:val="22"/>
        </w:rPr>
        <w:t xml:space="preserve">olecular </w:t>
      </w:r>
      <w:r w:rsidR="00400527" w:rsidRPr="000412A1">
        <w:rPr>
          <w:sz w:val="22"/>
          <w:szCs w:val="22"/>
        </w:rPr>
        <w:t xml:space="preserve">sieve </w:t>
      </w:r>
      <w:r w:rsidRPr="000412A1">
        <w:rPr>
          <w:sz w:val="22"/>
          <w:szCs w:val="22"/>
        </w:rPr>
        <w:t>(1.0</w:t>
      </w:r>
      <w:r w:rsidR="00400527" w:rsidRPr="000412A1">
        <w:rPr>
          <w:sz w:val="22"/>
          <w:szCs w:val="22"/>
        </w:rPr>
        <w:t xml:space="preserve"> </w:t>
      </w:r>
      <w:r w:rsidRPr="000412A1">
        <w:rPr>
          <w:sz w:val="22"/>
          <w:szCs w:val="22"/>
        </w:rPr>
        <w:t xml:space="preserve">m </w:t>
      </w:r>
      <w:r w:rsidR="00C20182" w:rsidRPr="00C20182">
        <w:rPr>
          <w:sz w:val="22"/>
          <w:szCs w:val="22"/>
        </w:rPr>
        <w:t>×</w:t>
      </w:r>
      <w:r w:rsidR="00C20182" w:rsidRPr="00C20182" w:rsidDel="00C20182">
        <w:rPr>
          <w:sz w:val="22"/>
          <w:szCs w:val="22"/>
        </w:rPr>
        <w:t xml:space="preserve"> </w:t>
      </w:r>
      <w:commentRangeStart w:id="4"/>
      <w:r w:rsidRPr="000412A1">
        <w:rPr>
          <w:sz w:val="22"/>
          <w:szCs w:val="22"/>
        </w:rPr>
        <w:t>1/</w:t>
      </w:r>
      <w:commentRangeEnd w:id="4"/>
      <w:r w:rsidR="00C20182" w:rsidRPr="000412A1">
        <w:rPr>
          <w:sz w:val="22"/>
          <w:szCs w:val="22"/>
        </w:rPr>
        <w:t>8</w:t>
      </w:r>
      <w:r w:rsidR="00C20182">
        <w:rPr>
          <w:sz w:val="22"/>
          <w:szCs w:val="22"/>
        </w:rPr>
        <w:t xml:space="preserve"> in. </w:t>
      </w:r>
      <w:r w:rsidR="0055025B">
        <w:rPr>
          <w:rStyle w:val="Refdecomentario"/>
        </w:rPr>
        <w:commentReference w:id="4"/>
      </w:r>
      <w:r w:rsidR="00C20182" w:rsidRPr="00C20182">
        <w:rPr>
          <w:sz w:val="22"/>
          <w:szCs w:val="22"/>
        </w:rPr>
        <w:t>×</w:t>
      </w:r>
      <w:r w:rsidR="00C20182" w:rsidRPr="00C20182" w:rsidDel="00C20182">
        <w:rPr>
          <w:sz w:val="22"/>
          <w:szCs w:val="22"/>
        </w:rPr>
        <w:t xml:space="preserve"> </w:t>
      </w:r>
      <w:r w:rsidRPr="000412A1">
        <w:rPr>
          <w:sz w:val="22"/>
          <w:szCs w:val="22"/>
        </w:rPr>
        <w:t>2.0 m) column. The carrier gas was helium</w:t>
      </w:r>
      <w:r w:rsidR="0055025B">
        <w:rPr>
          <w:sz w:val="22"/>
          <w:szCs w:val="22"/>
        </w:rPr>
        <w:t>,</w:t>
      </w:r>
      <w:r w:rsidRPr="000412A1">
        <w:rPr>
          <w:sz w:val="22"/>
          <w:szCs w:val="22"/>
        </w:rPr>
        <w:t xml:space="preserve"> and </w:t>
      </w:r>
      <w:r w:rsidR="00400527" w:rsidRPr="000412A1">
        <w:rPr>
          <w:sz w:val="22"/>
          <w:szCs w:val="22"/>
        </w:rPr>
        <w:t xml:space="preserve">the columns </w:t>
      </w:r>
      <w:r w:rsidRPr="000412A1">
        <w:rPr>
          <w:sz w:val="22"/>
          <w:szCs w:val="22"/>
        </w:rPr>
        <w:t xml:space="preserve">operated at </w:t>
      </w:r>
      <w:r w:rsidR="00240F8B" w:rsidRPr="000412A1">
        <w:rPr>
          <w:sz w:val="22"/>
          <w:szCs w:val="22"/>
        </w:rPr>
        <w:t xml:space="preserve">pressure of </w:t>
      </w:r>
      <w:r w:rsidRPr="000412A1">
        <w:rPr>
          <w:sz w:val="22"/>
          <w:szCs w:val="22"/>
        </w:rPr>
        <w:t>331 kPa and t</w:t>
      </w:r>
      <w:r w:rsidR="00240F8B" w:rsidRPr="000412A1">
        <w:rPr>
          <w:sz w:val="22"/>
          <w:szCs w:val="22"/>
        </w:rPr>
        <w:t>emperature of</w:t>
      </w:r>
      <w:r w:rsidRPr="000412A1">
        <w:rPr>
          <w:sz w:val="22"/>
          <w:szCs w:val="22"/>
        </w:rPr>
        <w:t xml:space="preserve"> 50 </w:t>
      </w:r>
      <w:r w:rsidR="00400527" w:rsidRPr="000412A1">
        <w:rPr>
          <w:sz w:val="22"/>
          <w:szCs w:val="22"/>
        </w:rPr>
        <w:t>ºC</w:t>
      </w:r>
      <w:r w:rsidRPr="000412A1">
        <w:rPr>
          <w:sz w:val="22"/>
          <w:szCs w:val="22"/>
        </w:rPr>
        <w:t>.</w:t>
      </w:r>
      <w:r w:rsidR="00400527" w:rsidRPr="000412A1">
        <w:rPr>
          <w:sz w:val="22"/>
          <w:szCs w:val="22"/>
        </w:rPr>
        <w:t xml:space="preserve"> </w:t>
      </w:r>
    </w:p>
    <w:p w14:paraId="5BFF9FEB" w14:textId="7FA69D1F" w:rsidR="00017AB6" w:rsidRPr="000412A1" w:rsidRDefault="00017AB6" w:rsidP="00ED2497">
      <w:pPr>
        <w:spacing w:before="240" w:after="220" w:line="480" w:lineRule="auto"/>
        <w:rPr>
          <w:sz w:val="22"/>
          <w:szCs w:val="22"/>
        </w:rPr>
      </w:pPr>
      <w:r w:rsidRPr="000412A1">
        <w:rPr>
          <w:sz w:val="22"/>
          <w:szCs w:val="22"/>
        </w:rPr>
        <w:t xml:space="preserve">Volatile fatty acids (VFAs) were </w:t>
      </w:r>
      <w:r w:rsidR="00400527" w:rsidRPr="000412A1">
        <w:rPr>
          <w:sz w:val="22"/>
          <w:szCs w:val="22"/>
        </w:rPr>
        <w:t xml:space="preserve">analysed </w:t>
      </w:r>
      <w:r w:rsidRPr="000412A1">
        <w:rPr>
          <w:sz w:val="22"/>
          <w:szCs w:val="22"/>
        </w:rPr>
        <w:t>using</w:t>
      </w:r>
      <w:r w:rsidR="00A309FC" w:rsidRPr="000412A1">
        <w:rPr>
          <w:sz w:val="22"/>
          <w:szCs w:val="22"/>
        </w:rPr>
        <w:t xml:space="preserve"> a</w:t>
      </w:r>
      <w:r w:rsidR="007A247D" w:rsidRPr="000412A1">
        <w:rPr>
          <w:sz w:val="22"/>
          <w:szCs w:val="22"/>
        </w:rPr>
        <w:t xml:space="preserve"> gas chromatograph </w:t>
      </w:r>
      <w:r w:rsidR="00BE6E97" w:rsidRPr="000412A1">
        <w:rPr>
          <w:sz w:val="22"/>
          <w:szCs w:val="22"/>
        </w:rPr>
        <w:t xml:space="preserve">(450-GC, </w:t>
      </w:r>
      <w:r w:rsidR="00A309FC" w:rsidRPr="000412A1">
        <w:rPr>
          <w:sz w:val="22"/>
          <w:szCs w:val="22"/>
        </w:rPr>
        <w:t>Bruker</w:t>
      </w:r>
      <w:r w:rsidR="00BE6E97" w:rsidRPr="000412A1">
        <w:rPr>
          <w:sz w:val="22"/>
          <w:szCs w:val="22"/>
        </w:rPr>
        <w:t>)</w:t>
      </w:r>
      <w:r w:rsidR="000822B5" w:rsidRPr="000412A1">
        <w:rPr>
          <w:sz w:val="22"/>
          <w:szCs w:val="22"/>
        </w:rPr>
        <w:t xml:space="preserve"> </w:t>
      </w:r>
      <w:r w:rsidR="00A309FC" w:rsidRPr="000412A1">
        <w:rPr>
          <w:sz w:val="22"/>
          <w:szCs w:val="22"/>
        </w:rPr>
        <w:t xml:space="preserve">with </w:t>
      </w:r>
      <w:r w:rsidRPr="000412A1">
        <w:rPr>
          <w:sz w:val="22"/>
          <w:szCs w:val="22"/>
        </w:rPr>
        <w:t>a flame</w:t>
      </w:r>
      <w:r w:rsidR="00EC0B4F">
        <w:rPr>
          <w:sz w:val="22"/>
          <w:szCs w:val="22"/>
        </w:rPr>
        <w:t xml:space="preserve"> </w:t>
      </w:r>
      <w:r w:rsidRPr="000412A1">
        <w:rPr>
          <w:sz w:val="22"/>
          <w:szCs w:val="22"/>
        </w:rPr>
        <w:t xml:space="preserve">ionisation detector (FID) equipped with a </w:t>
      </w:r>
      <w:proofErr w:type="spellStart"/>
      <w:r w:rsidRPr="000412A1">
        <w:rPr>
          <w:sz w:val="22"/>
          <w:szCs w:val="22"/>
        </w:rPr>
        <w:t>Nukol</w:t>
      </w:r>
      <w:proofErr w:type="spellEnd"/>
      <w:r w:rsidRPr="000412A1">
        <w:rPr>
          <w:sz w:val="22"/>
          <w:szCs w:val="22"/>
        </w:rPr>
        <w:t xml:space="preserve"> capillary column (30 m </w:t>
      </w:r>
      <w:r w:rsidR="00C20182" w:rsidRPr="00C20182">
        <w:rPr>
          <w:sz w:val="22"/>
          <w:szCs w:val="22"/>
        </w:rPr>
        <w:t>×</w:t>
      </w:r>
      <w:r w:rsidR="00C20182" w:rsidRPr="00C20182" w:rsidDel="00C20182">
        <w:rPr>
          <w:sz w:val="22"/>
          <w:szCs w:val="22"/>
        </w:rPr>
        <w:t xml:space="preserve"> </w:t>
      </w:r>
      <w:r w:rsidRPr="000412A1">
        <w:rPr>
          <w:sz w:val="22"/>
          <w:szCs w:val="22"/>
        </w:rPr>
        <w:t xml:space="preserve">0.25 mm </w:t>
      </w:r>
      <w:r w:rsidR="00C20182" w:rsidRPr="00C20182">
        <w:rPr>
          <w:sz w:val="22"/>
          <w:szCs w:val="22"/>
        </w:rPr>
        <w:t>×</w:t>
      </w:r>
      <w:r w:rsidR="00C20182" w:rsidRPr="00C20182" w:rsidDel="00C20182">
        <w:rPr>
          <w:sz w:val="22"/>
          <w:szCs w:val="22"/>
        </w:rPr>
        <w:t xml:space="preserve"> </w:t>
      </w:r>
      <w:r w:rsidRPr="000412A1">
        <w:rPr>
          <w:sz w:val="22"/>
          <w:szCs w:val="22"/>
        </w:rPr>
        <w:t xml:space="preserve">0.25 mm) </w:t>
      </w:r>
      <w:r w:rsidR="007A247D" w:rsidRPr="000412A1">
        <w:rPr>
          <w:sz w:val="22"/>
          <w:szCs w:val="22"/>
        </w:rPr>
        <w:t xml:space="preserve">supplied by </w:t>
      </w:r>
      <w:proofErr w:type="spellStart"/>
      <w:r w:rsidRPr="000412A1">
        <w:rPr>
          <w:sz w:val="22"/>
          <w:szCs w:val="22"/>
        </w:rPr>
        <w:t>Supelco</w:t>
      </w:r>
      <w:proofErr w:type="spellEnd"/>
      <w:r w:rsidRPr="000412A1">
        <w:rPr>
          <w:sz w:val="22"/>
          <w:szCs w:val="22"/>
        </w:rPr>
        <w:t xml:space="preserve">. The carrier gas was helium. </w:t>
      </w:r>
      <w:r w:rsidR="0055025B">
        <w:rPr>
          <w:sz w:val="22"/>
          <w:szCs w:val="22"/>
        </w:rPr>
        <w:t>I</w:t>
      </w:r>
      <w:r w:rsidRPr="000412A1">
        <w:rPr>
          <w:sz w:val="22"/>
          <w:szCs w:val="22"/>
        </w:rPr>
        <w:t xml:space="preserve">njector and detector temperatures were 220 and 250 °C, respectively. </w:t>
      </w:r>
      <w:r w:rsidR="0055025B">
        <w:rPr>
          <w:sz w:val="22"/>
          <w:szCs w:val="22"/>
        </w:rPr>
        <w:t>O</w:t>
      </w:r>
      <w:r w:rsidRPr="000412A1">
        <w:rPr>
          <w:sz w:val="22"/>
          <w:szCs w:val="22"/>
        </w:rPr>
        <w:t>ven temperature was set to 150 °C for 3 min</w:t>
      </w:r>
      <w:r w:rsidR="009968AA" w:rsidRPr="000412A1">
        <w:rPr>
          <w:sz w:val="22"/>
          <w:szCs w:val="22"/>
        </w:rPr>
        <w:t>utes</w:t>
      </w:r>
      <w:r w:rsidRPr="000412A1">
        <w:rPr>
          <w:sz w:val="22"/>
          <w:szCs w:val="22"/>
        </w:rPr>
        <w:t xml:space="preserve"> and increased to 180 °C with a ramp</w:t>
      </w:r>
      <w:r w:rsidR="0055025B">
        <w:rPr>
          <w:sz w:val="22"/>
          <w:szCs w:val="22"/>
        </w:rPr>
        <w:t>-up</w:t>
      </w:r>
      <w:r w:rsidRPr="000412A1">
        <w:rPr>
          <w:sz w:val="22"/>
          <w:szCs w:val="22"/>
        </w:rPr>
        <w:t xml:space="preserve"> of 10 °C</w:t>
      </w:r>
      <w:r w:rsidR="00400527" w:rsidRPr="000412A1">
        <w:rPr>
          <w:sz w:val="22"/>
          <w:szCs w:val="22"/>
        </w:rPr>
        <w:t xml:space="preserve"> </w:t>
      </w:r>
      <w:r w:rsidRPr="000412A1">
        <w:rPr>
          <w:sz w:val="22"/>
          <w:szCs w:val="22"/>
        </w:rPr>
        <w:t>min</w:t>
      </w:r>
      <w:r w:rsidR="00C02204" w:rsidRPr="000412A1">
        <w:rPr>
          <w:sz w:val="22"/>
          <w:szCs w:val="22"/>
          <w:vertAlign w:val="superscript"/>
        </w:rPr>
        <w:t>–</w:t>
      </w:r>
      <w:r w:rsidR="00400527" w:rsidRPr="000412A1">
        <w:rPr>
          <w:sz w:val="22"/>
          <w:szCs w:val="22"/>
          <w:vertAlign w:val="superscript"/>
        </w:rPr>
        <w:t>1</w:t>
      </w:r>
      <w:r w:rsidRPr="000412A1">
        <w:rPr>
          <w:sz w:val="22"/>
          <w:szCs w:val="22"/>
        </w:rPr>
        <w:t xml:space="preserve">. </w:t>
      </w:r>
      <w:r w:rsidR="00B41B7C" w:rsidRPr="000412A1">
        <w:rPr>
          <w:sz w:val="22"/>
          <w:szCs w:val="22"/>
        </w:rPr>
        <w:t>M</w:t>
      </w:r>
      <w:r w:rsidRPr="000412A1">
        <w:rPr>
          <w:sz w:val="22"/>
          <w:szCs w:val="22"/>
        </w:rPr>
        <w:t>ethods</w:t>
      </w:r>
      <w:r w:rsidR="00B41B7C" w:rsidRPr="000412A1">
        <w:rPr>
          <w:sz w:val="22"/>
          <w:szCs w:val="22"/>
        </w:rPr>
        <w:t xml:space="preserve"> for measuring</w:t>
      </w:r>
      <w:r w:rsidRPr="000412A1">
        <w:rPr>
          <w:sz w:val="22"/>
          <w:szCs w:val="22"/>
        </w:rPr>
        <w:t xml:space="preserve"> biogas composition and VFA </w:t>
      </w:r>
      <w:r w:rsidR="00B41B7C" w:rsidRPr="000412A1">
        <w:rPr>
          <w:sz w:val="22"/>
          <w:szCs w:val="22"/>
        </w:rPr>
        <w:t xml:space="preserve">concentration </w:t>
      </w:r>
      <w:r w:rsidR="00123A2B" w:rsidRPr="000412A1">
        <w:rPr>
          <w:sz w:val="22"/>
          <w:szCs w:val="22"/>
        </w:rPr>
        <w:t>are</w:t>
      </w:r>
      <w:r w:rsidR="00FD1911" w:rsidRPr="000412A1">
        <w:rPr>
          <w:sz w:val="22"/>
          <w:szCs w:val="22"/>
        </w:rPr>
        <w:t xml:space="preserve"> </w:t>
      </w:r>
      <w:r w:rsidRPr="000412A1">
        <w:rPr>
          <w:sz w:val="22"/>
          <w:szCs w:val="22"/>
        </w:rPr>
        <w:t>described</w:t>
      </w:r>
      <w:r w:rsidR="00B41B7C" w:rsidRPr="000412A1">
        <w:rPr>
          <w:sz w:val="22"/>
          <w:szCs w:val="22"/>
        </w:rPr>
        <w:t xml:space="preserve"> in detail</w:t>
      </w:r>
      <w:r w:rsidRPr="000412A1">
        <w:rPr>
          <w:sz w:val="22"/>
          <w:szCs w:val="22"/>
        </w:rPr>
        <w:t xml:space="preserve"> elsewhere</w:t>
      </w:r>
      <w:r w:rsidR="00A309FC" w:rsidRPr="000412A1">
        <w:rPr>
          <w:sz w:val="22"/>
          <w:szCs w:val="22"/>
        </w:rPr>
        <w:t xml:space="preserve"> </w:t>
      </w:r>
      <w:r w:rsidR="00A309FC" w:rsidRPr="000412A1">
        <w:rPr>
          <w:sz w:val="22"/>
          <w:szCs w:val="22"/>
        </w:rPr>
        <w:fldChar w:fldCharType="begin" w:fldLock="1"/>
      </w:r>
      <w:r w:rsidR="00A07857" w:rsidRPr="000412A1">
        <w:rPr>
          <w:sz w:val="22"/>
          <w:szCs w:val="22"/>
        </w:rPr>
        <w:instrText>ADDIN CSL_CITATION { "citationItems" : [ { "id" : "ITEM-1", "itemData" : { "DOI" : "10.3390/EN12071228", "abstract" : "The effect of hydrogen pulse addition on digestion performance of sewage sludge was evaluated as a means for studying the increase in efficiency of methane production. Microbial communities were also evaluated to get an insight of the changes caused by the operational modifications of the digester. An energy evaluation of this alternative was performed considering the theoretical process of coupling bioelectrochemical systems (BES) for the treatment of wastewater along with hydrogen production and the subsequent anaerobic digestion. The addition of hydrogen to sewage sludge digestion resulted in an increase of 12% in biogas production over the control (1353 mL CH4 d&amp;minus;1 at an injection flow rate of 1938 mL H2 d&amp;minus;1). The liquid phase of the sludge reactor and the H2 supplemented one did not show significant differences, thus indicating that the application of hydrogen as the co-substrate was not detrimental. High-throughput sequencing analysis showed slight changes in archaeal relative abundance after hydrogen addition, whereas eubacterial community structure and composition revealed noteworthy shifts. The mass and energy balance indicated that the amount of hydrogen obtained from a hypothetical BES can be assimilated in the sludge digester, improving biogas production, but this configuration was not capable of covering all energy needs under the proposed scenario.", "author" : [ { "dropping-particle" : "", "family" : "Mart\u00ednez", "given" : "Elia Judith", "non-dropping-particle" : "", "parse-names" : false, "suffix" : "" }, { "dropping-particle" : "", "family" : "Sotres", "given" : "Ana", "non-dropping-particle" : "", "parse-names" : false, "suffix" : "" }, { "dropping-particle" : "", "family" : "Arenas", "given" : "Cristi\u00e1n B.", "non-dropping-particle" : "", "parse-names" : false, "suffix" : "" }, { "dropping-particle" : "", "family" : "Blanco", "given" : "Daniel", "non-dropping-particle" : "", "parse-names" : false, "suffix" : "" }, { "dropping-particle" : "", "family" : "Mart\u00ednez", "given" : "Olegario", "non-dropping-particle" : "", "parse-names" : false, "suffix" : "" }, { "dropping-particle" : "", "family" : "G\u00f3mez", "given" : "Xiomar", "non-dropping-particle" : "", "parse-names" : false, "suffix" : "" }, { "dropping-particle" : "", "family" : "Mart\u00ednez", "given" : "Elia Judith", "non-dropping-particle" : "", "parse-names" : false, "suffix" : "" }, { "dropping-particle" : "", "family" : "Sotres", "given" : "Ana", "non-dropping-particle" : "", "parse-names" : false, "suffix" : "" }, { "dropping-particle" : "", "family" : "Arenas", "given" : "Cristi\u00e1n B.", "non-dropping-particle" : "", "parse-names" : false, "suffix" : "" }, { "dropping-particle" : "", "family" : "Blanco", "given" : "Daniel", "non-dropping-particle" : "", "parse-names" : false, "suffix" : "" }, { "dropping-particle" : "", "family" : "Mart\u00ednez", "given" : "Olegario", "non-dropping-particle" : "", "parse-names" : false, "suffix" : "" }, { "dropping-particle" : "", "family" : "G\u00f3mez", "given" : "Xiomar", "non-dropping-particle" : "", "parse-names" : false, "suffix" : "" } ], "container-title" : "Energies 2019, Vol. 12, Page 1228", "id" : "ITEM-1", "issue" : "7", "issued" : { "date-parts" : [ [ "2019", "3", "30" ] ] }, "page" : "1228", "publisher" : "Multidisciplinary Digital Publishing Institute", "title" : "Improving Anaerobic Digestion of Sewage Sludge by Hydrogen Addition: Analysis of Microbial Populations and Process Performance", "type" : "article-journal", "volume" : "12" }, "uris" : [ "http://www.mendeley.com/documents/?uuid=3e7f75b4-1365-32f7-85fb-8db6de6ad76a" ] } ], "mendeley" : { "formattedCitation" : "(Mart\u00ednez et al., 2019)", "plainTextFormattedCitation" : "(Mart\u00ednez et al., 2019)", "previouslyFormattedCitation" : "(Mart\u00ednez et al., 2019)" }, "properties" : {  }, "schema" : "https://github.com/citation-style-language/schema/raw/master/csl-citation.json" }</w:instrText>
      </w:r>
      <w:r w:rsidR="00A309FC" w:rsidRPr="000412A1">
        <w:rPr>
          <w:sz w:val="22"/>
          <w:szCs w:val="22"/>
        </w:rPr>
        <w:fldChar w:fldCharType="separate"/>
      </w:r>
      <w:r w:rsidR="00A309FC" w:rsidRPr="000412A1">
        <w:rPr>
          <w:noProof/>
          <w:sz w:val="22"/>
          <w:szCs w:val="22"/>
        </w:rPr>
        <w:t>(Martínez et al., 2019)</w:t>
      </w:r>
      <w:r w:rsidR="00A309FC" w:rsidRPr="000412A1">
        <w:rPr>
          <w:sz w:val="22"/>
          <w:szCs w:val="22"/>
        </w:rPr>
        <w:fldChar w:fldCharType="end"/>
      </w:r>
      <w:r w:rsidR="0055025B">
        <w:rPr>
          <w:sz w:val="22"/>
          <w:szCs w:val="22"/>
        </w:rPr>
        <w:t>.</w:t>
      </w:r>
    </w:p>
    <w:p w14:paraId="4143D8E1" w14:textId="2E4CB907" w:rsidR="00C65B7D" w:rsidRPr="000412A1" w:rsidRDefault="00C65B7D" w:rsidP="00ED2497">
      <w:pPr>
        <w:spacing w:before="240" w:after="220" w:line="480" w:lineRule="auto"/>
        <w:rPr>
          <w:sz w:val="22"/>
          <w:szCs w:val="22"/>
        </w:rPr>
      </w:pPr>
      <w:r w:rsidRPr="000412A1">
        <w:rPr>
          <w:sz w:val="22"/>
          <w:szCs w:val="22"/>
        </w:rPr>
        <w:lastRenderedPageBreak/>
        <w:t>Particle</w:t>
      </w:r>
      <w:r w:rsidR="00EC0B4F">
        <w:rPr>
          <w:sz w:val="22"/>
          <w:szCs w:val="22"/>
        </w:rPr>
        <w:t xml:space="preserve"> </w:t>
      </w:r>
      <w:r w:rsidRPr="000412A1">
        <w:rPr>
          <w:sz w:val="22"/>
          <w:szCs w:val="22"/>
        </w:rPr>
        <w:t xml:space="preserve">size analysis was carried out using a </w:t>
      </w:r>
      <w:r w:rsidR="00123A2B" w:rsidRPr="000412A1">
        <w:rPr>
          <w:sz w:val="22"/>
          <w:szCs w:val="22"/>
        </w:rPr>
        <w:t>laser</w:t>
      </w:r>
      <w:r w:rsidR="00EC0B4F">
        <w:rPr>
          <w:sz w:val="22"/>
          <w:szCs w:val="22"/>
        </w:rPr>
        <w:t xml:space="preserve"> </w:t>
      </w:r>
      <w:r w:rsidR="00123A2B" w:rsidRPr="000412A1">
        <w:rPr>
          <w:sz w:val="22"/>
          <w:szCs w:val="22"/>
        </w:rPr>
        <w:t>diffraction particle</w:t>
      </w:r>
      <w:r w:rsidR="00EC0B4F">
        <w:rPr>
          <w:sz w:val="22"/>
          <w:szCs w:val="22"/>
        </w:rPr>
        <w:t xml:space="preserve"> </w:t>
      </w:r>
      <w:r w:rsidR="00123A2B" w:rsidRPr="000412A1">
        <w:rPr>
          <w:sz w:val="22"/>
          <w:szCs w:val="22"/>
        </w:rPr>
        <w:t xml:space="preserve">size analyser (LS 13 320, </w:t>
      </w:r>
      <w:r w:rsidRPr="000412A1">
        <w:rPr>
          <w:sz w:val="22"/>
          <w:szCs w:val="22"/>
        </w:rPr>
        <w:t>Beckmann Coulter</w:t>
      </w:r>
      <w:r w:rsidR="00123A2B" w:rsidRPr="000412A1">
        <w:rPr>
          <w:sz w:val="22"/>
          <w:szCs w:val="22"/>
        </w:rPr>
        <w:t>)</w:t>
      </w:r>
      <w:r w:rsidRPr="000412A1">
        <w:rPr>
          <w:sz w:val="22"/>
          <w:szCs w:val="22"/>
        </w:rPr>
        <w:t xml:space="preserve">. </w:t>
      </w:r>
      <w:r w:rsidR="00123A2B" w:rsidRPr="000412A1">
        <w:rPr>
          <w:sz w:val="22"/>
          <w:szCs w:val="22"/>
        </w:rPr>
        <w:t xml:space="preserve">This device </w:t>
      </w:r>
      <w:r w:rsidRPr="000412A1">
        <w:rPr>
          <w:sz w:val="22"/>
          <w:szCs w:val="22"/>
        </w:rPr>
        <w:t xml:space="preserve">was equipped with an optical bench and a universal liquid module to measure the size distribution of particles. The scatter generated by particles </w:t>
      </w:r>
      <w:r w:rsidR="00B7066D" w:rsidRPr="000412A1">
        <w:rPr>
          <w:sz w:val="22"/>
          <w:szCs w:val="22"/>
        </w:rPr>
        <w:t xml:space="preserve">was </w:t>
      </w:r>
      <w:r w:rsidRPr="000412A1">
        <w:rPr>
          <w:sz w:val="22"/>
          <w:szCs w:val="22"/>
        </w:rPr>
        <w:t>estimated on the</w:t>
      </w:r>
      <w:r w:rsidR="00C02204" w:rsidRPr="000412A1">
        <w:rPr>
          <w:sz w:val="22"/>
          <w:szCs w:val="22"/>
        </w:rPr>
        <w:t xml:space="preserve"> basis of the</w:t>
      </w:r>
      <w:r w:rsidRPr="000412A1">
        <w:rPr>
          <w:sz w:val="22"/>
          <w:szCs w:val="22"/>
        </w:rPr>
        <w:t xml:space="preserve"> Fraunhofer optical model. Samples were </w:t>
      </w:r>
      <w:r w:rsidR="00443A7A" w:rsidRPr="000412A1">
        <w:rPr>
          <w:sz w:val="22"/>
          <w:szCs w:val="22"/>
        </w:rPr>
        <w:t xml:space="preserve">prepared by </w:t>
      </w:r>
      <w:r w:rsidRPr="000412A1">
        <w:rPr>
          <w:sz w:val="22"/>
          <w:szCs w:val="22"/>
        </w:rPr>
        <w:t>dilut</w:t>
      </w:r>
      <w:r w:rsidR="00443A7A" w:rsidRPr="000412A1">
        <w:rPr>
          <w:sz w:val="22"/>
          <w:szCs w:val="22"/>
        </w:rPr>
        <w:t>ing them</w:t>
      </w:r>
      <w:r w:rsidRPr="000412A1">
        <w:rPr>
          <w:sz w:val="22"/>
          <w:szCs w:val="22"/>
        </w:rPr>
        <w:t xml:space="preserve"> in tap water for analysis. </w:t>
      </w:r>
      <w:r w:rsidR="00443A7A" w:rsidRPr="000412A1">
        <w:rPr>
          <w:sz w:val="22"/>
          <w:szCs w:val="22"/>
        </w:rPr>
        <w:t xml:space="preserve">Each sample was </w:t>
      </w:r>
      <w:r w:rsidRPr="000412A1">
        <w:rPr>
          <w:sz w:val="22"/>
          <w:szCs w:val="22"/>
        </w:rPr>
        <w:t>measure</w:t>
      </w:r>
      <w:r w:rsidR="00B90248" w:rsidRPr="000412A1">
        <w:rPr>
          <w:sz w:val="22"/>
          <w:szCs w:val="22"/>
        </w:rPr>
        <w:t>d ten times</w:t>
      </w:r>
      <w:r w:rsidRPr="000412A1">
        <w:rPr>
          <w:sz w:val="22"/>
          <w:szCs w:val="22"/>
        </w:rPr>
        <w:t>.</w:t>
      </w:r>
    </w:p>
    <w:p w14:paraId="2C701345" w14:textId="5A8A3D40" w:rsidR="006B7761" w:rsidRPr="000412A1" w:rsidRDefault="0054119D" w:rsidP="006B7761">
      <w:pPr>
        <w:spacing w:before="240" w:after="220" w:line="480" w:lineRule="auto"/>
        <w:rPr>
          <w:sz w:val="22"/>
          <w:szCs w:val="22"/>
        </w:rPr>
      </w:pPr>
      <w:r w:rsidRPr="000412A1">
        <w:rPr>
          <w:sz w:val="22"/>
          <w:szCs w:val="22"/>
        </w:rPr>
        <w:t>S</w:t>
      </w:r>
      <w:r w:rsidR="000D7537" w:rsidRPr="000412A1">
        <w:rPr>
          <w:sz w:val="22"/>
          <w:szCs w:val="22"/>
        </w:rPr>
        <w:t>ludge</w:t>
      </w:r>
      <w:r w:rsidR="00EC0B4F">
        <w:rPr>
          <w:sz w:val="22"/>
          <w:szCs w:val="22"/>
        </w:rPr>
        <w:t xml:space="preserve"> </w:t>
      </w:r>
      <w:r w:rsidR="005D3F2F" w:rsidRPr="000412A1">
        <w:rPr>
          <w:sz w:val="22"/>
          <w:szCs w:val="22"/>
        </w:rPr>
        <w:t>dewaterability characteristics were measured</w:t>
      </w:r>
      <w:r w:rsidRPr="000412A1">
        <w:rPr>
          <w:sz w:val="22"/>
          <w:szCs w:val="22"/>
        </w:rPr>
        <w:t xml:space="preserve"> after anaerobic digestion of WAS</w:t>
      </w:r>
      <w:r w:rsidR="000D7537" w:rsidRPr="000412A1">
        <w:rPr>
          <w:sz w:val="22"/>
          <w:szCs w:val="22"/>
        </w:rPr>
        <w:t>.</w:t>
      </w:r>
      <w:r w:rsidR="006B7761" w:rsidRPr="000412A1">
        <w:rPr>
          <w:sz w:val="22"/>
          <w:szCs w:val="22"/>
        </w:rPr>
        <w:t xml:space="preserve"> Solid removal</w:t>
      </w:r>
      <w:r w:rsidR="000D7537" w:rsidRPr="000412A1">
        <w:rPr>
          <w:sz w:val="22"/>
          <w:szCs w:val="22"/>
        </w:rPr>
        <w:t xml:space="preserve"> </w:t>
      </w:r>
      <w:r w:rsidRPr="000412A1">
        <w:rPr>
          <w:sz w:val="22"/>
          <w:szCs w:val="22"/>
        </w:rPr>
        <w:t xml:space="preserve">was </w:t>
      </w:r>
      <w:r w:rsidR="00B41B7C" w:rsidRPr="000412A1">
        <w:rPr>
          <w:sz w:val="22"/>
          <w:szCs w:val="22"/>
        </w:rPr>
        <w:t xml:space="preserve">expressed </w:t>
      </w:r>
      <w:r w:rsidR="006B7761" w:rsidRPr="000412A1">
        <w:rPr>
          <w:sz w:val="22"/>
          <w:szCs w:val="22"/>
        </w:rPr>
        <w:t xml:space="preserve">as </w:t>
      </w:r>
      <w:r w:rsidR="009D3055" w:rsidRPr="000412A1">
        <w:rPr>
          <w:sz w:val="22"/>
          <w:szCs w:val="22"/>
        </w:rPr>
        <w:t xml:space="preserve">the </w:t>
      </w:r>
      <w:r w:rsidR="000D7537" w:rsidRPr="000412A1">
        <w:rPr>
          <w:sz w:val="22"/>
          <w:szCs w:val="22"/>
        </w:rPr>
        <w:t>p</w:t>
      </w:r>
      <w:r w:rsidR="006B7761" w:rsidRPr="000412A1">
        <w:rPr>
          <w:sz w:val="22"/>
          <w:szCs w:val="22"/>
        </w:rPr>
        <w:t>ercentage of volatile</w:t>
      </w:r>
      <w:r w:rsidR="00EC0B4F">
        <w:rPr>
          <w:sz w:val="22"/>
          <w:szCs w:val="22"/>
        </w:rPr>
        <w:t xml:space="preserve"> </w:t>
      </w:r>
      <w:r w:rsidR="0055025B">
        <w:rPr>
          <w:sz w:val="22"/>
          <w:szCs w:val="22"/>
        </w:rPr>
        <w:t>s</w:t>
      </w:r>
      <w:r w:rsidR="006B7761" w:rsidRPr="000412A1">
        <w:rPr>
          <w:sz w:val="22"/>
          <w:szCs w:val="22"/>
        </w:rPr>
        <w:t xml:space="preserve">olid removal (%) </w:t>
      </w:r>
      <w:r w:rsidR="000D7537" w:rsidRPr="000412A1">
        <w:rPr>
          <w:sz w:val="22"/>
          <w:szCs w:val="22"/>
        </w:rPr>
        <w:t xml:space="preserve">and </w:t>
      </w:r>
      <w:r w:rsidR="006B7761" w:rsidRPr="000412A1">
        <w:rPr>
          <w:sz w:val="22"/>
          <w:szCs w:val="22"/>
        </w:rPr>
        <w:t xml:space="preserve">calculated </w:t>
      </w:r>
      <w:r w:rsidR="000D7537" w:rsidRPr="000412A1">
        <w:rPr>
          <w:sz w:val="22"/>
          <w:szCs w:val="22"/>
        </w:rPr>
        <w:t>on</w:t>
      </w:r>
      <w:r w:rsidR="006B7761" w:rsidRPr="000412A1">
        <w:rPr>
          <w:sz w:val="22"/>
          <w:szCs w:val="22"/>
        </w:rPr>
        <w:t xml:space="preserve"> the</w:t>
      </w:r>
      <w:r w:rsidR="00C02204" w:rsidRPr="000412A1">
        <w:rPr>
          <w:sz w:val="22"/>
          <w:szCs w:val="22"/>
        </w:rPr>
        <w:t xml:space="preserve"> basis of the</w:t>
      </w:r>
      <w:r w:rsidR="006B7761" w:rsidRPr="000412A1">
        <w:rPr>
          <w:sz w:val="22"/>
          <w:szCs w:val="22"/>
        </w:rPr>
        <w:t xml:space="preserve"> following</w:t>
      </w:r>
      <w:r w:rsidR="000D7537" w:rsidRPr="000412A1">
        <w:rPr>
          <w:sz w:val="22"/>
          <w:szCs w:val="22"/>
        </w:rPr>
        <w:t xml:space="preserve"> equation</w:t>
      </w:r>
      <w:r w:rsidR="006B7761" w:rsidRPr="000412A1">
        <w:rPr>
          <w:sz w:val="22"/>
          <w:szCs w:val="22"/>
        </w:rPr>
        <w:t>:</w:t>
      </w:r>
    </w:p>
    <w:p w14:paraId="62A007CB" w14:textId="72C6510A" w:rsidR="006B7761" w:rsidRPr="000412A1" w:rsidRDefault="00065DDB" w:rsidP="006B7761">
      <w:pPr>
        <w:spacing w:before="240" w:after="220" w:line="480" w:lineRule="auto"/>
        <w:rPr>
          <w:sz w:val="22"/>
          <w:szCs w:val="22"/>
        </w:rPr>
      </w:pPr>
      <m:oMath>
        <m:d>
          <m:dPr>
            <m:ctrlPr>
              <w:rPr>
                <w:rFonts w:ascii="Cambria Math" w:hAnsi="Cambria Math"/>
                <w:i/>
                <w:sz w:val="22"/>
                <w:szCs w:val="22"/>
              </w:rPr>
            </m:ctrlPr>
          </m:dPr>
          <m:e>
            <m:r>
              <w:rPr>
                <w:rFonts w:ascii="Cambria Math" w:hAnsi="Cambria Math"/>
                <w:sz w:val="22"/>
                <w:szCs w:val="22"/>
              </w:rPr>
              <m:t>%</m:t>
            </m:r>
          </m:e>
        </m:d>
        <m:r>
          <w:rPr>
            <w:rFonts w:ascii="Cambria Math" w:hAnsi="Cambria Math"/>
            <w:sz w:val="22"/>
            <w:szCs w:val="22"/>
          </w:rPr>
          <m:t xml:space="preserve"> VS removal= </m:t>
        </m:r>
        <m:f>
          <m:fPr>
            <m:type m:val="lin"/>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VS</m:t>
                </m:r>
              </m:e>
              <m:sub>
                <m:r>
                  <w:rPr>
                    <w:rFonts w:ascii="Cambria Math" w:hAnsi="Cambria Math"/>
                    <w:sz w:val="22"/>
                    <w:szCs w:val="22"/>
                  </w:rPr>
                  <m:t>digestate</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VS</m:t>
                </m:r>
              </m:e>
              <m:sub>
                <m:r>
                  <w:rPr>
                    <w:rFonts w:ascii="Cambria Math" w:hAnsi="Cambria Math"/>
                    <w:sz w:val="22"/>
                    <w:szCs w:val="22"/>
                  </w:rPr>
                  <m:t xml:space="preserve"> digestate after EO </m:t>
                </m:r>
              </m:sub>
            </m:sSub>
          </m:num>
          <m:den>
            <m:sSub>
              <m:sSubPr>
                <m:ctrlPr>
                  <w:rPr>
                    <w:rFonts w:ascii="Cambria Math" w:hAnsi="Cambria Math"/>
                    <w:i/>
                    <w:sz w:val="22"/>
                    <w:szCs w:val="22"/>
                  </w:rPr>
                </m:ctrlPr>
              </m:sSubPr>
              <m:e>
                <m:r>
                  <w:rPr>
                    <w:rFonts w:ascii="Cambria Math" w:hAnsi="Cambria Math"/>
                    <w:sz w:val="22"/>
                    <w:szCs w:val="22"/>
                  </w:rPr>
                  <m:t>VS</m:t>
                </m:r>
              </m:e>
              <m:sub>
                <m:r>
                  <w:rPr>
                    <w:rFonts w:ascii="Cambria Math" w:hAnsi="Cambria Math"/>
                    <w:sz w:val="22"/>
                    <w:szCs w:val="22"/>
                  </w:rPr>
                  <m:t>digestate</m:t>
                </m:r>
              </m:sub>
            </m:sSub>
          </m:den>
        </m:f>
        <m:r>
          <w:rPr>
            <w:rFonts w:ascii="Cambria Math" w:hAnsi="Cambria Math"/>
            <w:sz w:val="22"/>
            <w:szCs w:val="22"/>
          </w:rPr>
          <m:t xml:space="preserve"> </m:t>
        </m:r>
      </m:oMath>
      <w:r w:rsidR="00C02204" w:rsidRPr="000412A1">
        <w:rPr>
          <w:sz w:val="22"/>
          <w:szCs w:val="22"/>
        </w:rPr>
        <w:t>,</w:t>
      </w:r>
      <w:r w:rsidR="00B243EF" w:rsidRPr="000412A1">
        <w:rPr>
          <w:sz w:val="22"/>
          <w:szCs w:val="22"/>
        </w:rPr>
        <w:tab/>
      </w:r>
      <w:r w:rsidR="003F1DAF" w:rsidRPr="000412A1">
        <w:rPr>
          <w:sz w:val="22"/>
          <w:szCs w:val="22"/>
        </w:rPr>
        <w:tab/>
      </w:r>
      <w:r w:rsidR="003E212A" w:rsidRPr="000412A1">
        <w:rPr>
          <w:sz w:val="22"/>
          <w:szCs w:val="22"/>
        </w:rPr>
        <w:t>(4</w:t>
      </w:r>
      <w:r w:rsidR="00B243EF" w:rsidRPr="000412A1">
        <w:rPr>
          <w:sz w:val="22"/>
          <w:szCs w:val="22"/>
        </w:rPr>
        <w:t>)</w:t>
      </w:r>
    </w:p>
    <w:p w14:paraId="3057ECC2" w14:textId="4B66A96E" w:rsidR="006B7761" w:rsidRPr="000412A1" w:rsidRDefault="00C02204" w:rsidP="006B7761">
      <w:pPr>
        <w:spacing w:before="240" w:after="220" w:line="480" w:lineRule="auto"/>
        <w:rPr>
          <w:sz w:val="22"/>
          <w:szCs w:val="22"/>
        </w:rPr>
      </w:pPr>
      <w:r w:rsidRPr="000412A1">
        <w:rPr>
          <w:sz w:val="22"/>
          <w:szCs w:val="22"/>
        </w:rPr>
        <w:t xml:space="preserve">where </w:t>
      </w:r>
      <w:r w:rsidR="006B7761" w:rsidRPr="000412A1">
        <w:rPr>
          <w:sz w:val="22"/>
          <w:szCs w:val="22"/>
        </w:rPr>
        <w:t xml:space="preserve">VS </w:t>
      </w:r>
      <w:r w:rsidR="006B7761" w:rsidRPr="000412A1">
        <w:rPr>
          <w:sz w:val="22"/>
          <w:szCs w:val="22"/>
          <w:vertAlign w:val="subscript"/>
        </w:rPr>
        <w:t xml:space="preserve">digestate </w:t>
      </w:r>
      <w:r w:rsidR="006B7761" w:rsidRPr="000412A1">
        <w:rPr>
          <w:sz w:val="22"/>
          <w:szCs w:val="22"/>
        </w:rPr>
        <w:t>is the volatile</w:t>
      </w:r>
      <w:r w:rsidR="00EC0B4F">
        <w:rPr>
          <w:sz w:val="22"/>
          <w:szCs w:val="22"/>
        </w:rPr>
        <w:t xml:space="preserve"> </w:t>
      </w:r>
      <w:r w:rsidR="006B7761" w:rsidRPr="000412A1">
        <w:rPr>
          <w:sz w:val="22"/>
          <w:szCs w:val="22"/>
        </w:rPr>
        <w:t>solid</w:t>
      </w:r>
      <w:r w:rsidR="00B14227" w:rsidRPr="000412A1">
        <w:rPr>
          <w:sz w:val="22"/>
          <w:szCs w:val="22"/>
        </w:rPr>
        <w:t xml:space="preserve"> content</w:t>
      </w:r>
      <w:r w:rsidR="006B7761" w:rsidRPr="000412A1">
        <w:rPr>
          <w:sz w:val="22"/>
          <w:szCs w:val="22"/>
        </w:rPr>
        <w:t xml:space="preserve"> of the raw digestate</w:t>
      </w:r>
      <w:r w:rsidR="0055025B">
        <w:rPr>
          <w:sz w:val="22"/>
          <w:szCs w:val="22"/>
        </w:rPr>
        <w:t>,</w:t>
      </w:r>
      <w:r w:rsidR="006B7761" w:rsidRPr="000412A1">
        <w:rPr>
          <w:sz w:val="22"/>
          <w:szCs w:val="22"/>
        </w:rPr>
        <w:t xml:space="preserve"> and VS</w:t>
      </w:r>
      <w:r w:rsidR="00B14227" w:rsidRPr="000412A1">
        <w:rPr>
          <w:sz w:val="22"/>
          <w:szCs w:val="22"/>
        </w:rPr>
        <w:t xml:space="preserve"> </w:t>
      </w:r>
      <w:r w:rsidR="00B14227" w:rsidRPr="000412A1">
        <w:rPr>
          <w:sz w:val="22"/>
          <w:szCs w:val="22"/>
          <w:vertAlign w:val="subscript"/>
        </w:rPr>
        <w:t>digestate after EO</w:t>
      </w:r>
      <w:r w:rsidR="006B7761" w:rsidRPr="000412A1">
        <w:rPr>
          <w:sz w:val="22"/>
          <w:szCs w:val="22"/>
        </w:rPr>
        <w:t xml:space="preserve"> is the volatile solids of the digestate after each </w:t>
      </w:r>
      <w:r w:rsidR="006307E9" w:rsidRPr="000412A1">
        <w:rPr>
          <w:sz w:val="22"/>
          <w:szCs w:val="22"/>
        </w:rPr>
        <w:t>electr</w:t>
      </w:r>
      <w:r w:rsidR="001E7DCA" w:rsidRPr="000412A1">
        <w:rPr>
          <w:sz w:val="22"/>
          <w:szCs w:val="22"/>
        </w:rPr>
        <w:t>o-o</w:t>
      </w:r>
      <w:r w:rsidR="006307E9" w:rsidRPr="000412A1">
        <w:rPr>
          <w:sz w:val="22"/>
          <w:szCs w:val="22"/>
        </w:rPr>
        <w:t xml:space="preserve">xidation </w:t>
      </w:r>
      <w:r w:rsidR="000D7537" w:rsidRPr="000412A1">
        <w:rPr>
          <w:sz w:val="22"/>
          <w:szCs w:val="22"/>
        </w:rPr>
        <w:t xml:space="preserve">treatment, quantified in </w:t>
      </w:r>
      <w:r w:rsidR="006B7761" w:rsidRPr="000412A1">
        <w:rPr>
          <w:sz w:val="22"/>
          <w:szCs w:val="22"/>
        </w:rPr>
        <w:t>g kg</w:t>
      </w:r>
      <w:r w:rsidRPr="000412A1">
        <w:rPr>
          <w:sz w:val="22"/>
          <w:szCs w:val="22"/>
          <w:vertAlign w:val="superscript"/>
        </w:rPr>
        <w:t>–</w:t>
      </w:r>
      <w:r w:rsidR="006B7761" w:rsidRPr="000412A1">
        <w:rPr>
          <w:sz w:val="22"/>
          <w:szCs w:val="22"/>
          <w:vertAlign w:val="superscript"/>
        </w:rPr>
        <w:t>1</w:t>
      </w:r>
      <w:r w:rsidR="006B7761" w:rsidRPr="000412A1">
        <w:rPr>
          <w:sz w:val="22"/>
          <w:szCs w:val="22"/>
        </w:rPr>
        <w:t>.</w:t>
      </w:r>
    </w:p>
    <w:p w14:paraId="497A980D" w14:textId="11F76FF4" w:rsidR="00ED0EB5" w:rsidRPr="000412A1" w:rsidRDefault="006B7761" w:rsidP="00ED0EB5">
      <w:pPr>
        <w:spacing w:before="240" w:after="220" w:line="480" w:lineRule="auto"/>
        <w:rPr>
          <w:sz w:val="22"/>
          <w:szCs w:val="22"/>
        </w:rPr>
      </w:pPr>
      <w:r w:rsidRPr="000412A1">
        <w:rPr>
          <w:sz w:val="22"/>
          <w:szCs w:val="22"/>
        </w:rPr>
        <w:t>C</w:t>
      </w:r>
      <w:r w:rsidR="0008019B" w:rsidRPr="000412A1">
        <w:rPr>
          <w:sz w:val="22"/>
          <w:szCs w:val="22"/>
        </w:rPr>
        <w:t>apillary</w:t>
      </w:r>
      <w:r w:rsidR="00400527" w:rsidRPr="000412A1">
        <w:rPr>
          <w:sz w:val="22"/>
          <w:szCs w:val="22"/>
        </w:rPr>
        <w:t xml:space="preserve"> </w:t>
      </w:r>
      <w:r w:rsidR="00131F93" w:rsidRPr="000412A1">
        <w:rPr>
          <w:sz w:val="22"/>
          <w:szCs w:val="22"/>
        </w:rPr>
        <w:t>suction t</w:t>
      </w:r>
      <w:r w:rsidR="00B317AE" w:rsidRPr="000412A1">
        <w:rPr>
          <w:sz w:val="22"/>
          <w:szCs w:val="22"/>
        </w:rPr>
        <w:t xml:space="preserve">ime (CST) was measured using 10 mL </w:t>
      </w:r>
      <w:r w:rsidR="000F3E8F" w:rsidRPr="000412A1">
        <w:rPr>
          <w:sz w:val="22"/>
          <w:szCs w:val="22"/>
        </w:rPr>
        <w:t xml:space="preserve">of </w:t>
      </w:r>
      <w:r w:rsidRPr="000412A1">
        <w:rPr>
          <w:sz w:val="22"/>
          <w:szCs w:val="22"/>
        </w:rPr>
        <w:t>digestate</w:t>
      </w:r>
      <w:r w:rsidR="005D3F2F" w:rsidRPr="000412A1">
        <w:rPr>
          <w:sz w:val="22"/>
          <w:szCs w:val="22"/>
        </w:rPr>
        <w:t xml:space="preserve"> </w:t>
      </w:r>
      <w:r w:rsidR="004D3EFF" w:rsidRPr="000412A1">
        <w:rPr>
          <w:sz w:val="22"/>
          <w:szCs w:val="22"/>
        </w:rPr>
        <w:t xml:space="preserve">and </w:t>
      </w:r>
      <w:r w:rsidR="00B317AE" w:rsidRPr="000412A1">
        <w:rPr>
          <w:sz w:val="22"/>
          <w:szCs w:val="22"/>
        </w:rPr>
        <w:t xml:space="preserve">samples </w:t>
      </w:r>
      <w:r w:rsidR="00400527" w:rsidRPr="000412A1">
        <w:rPr>
          <w:sz w:val="22"/>
          <w:szCs w:val="22"/>
        </w:rPr>
        <w:t xml:space="preserve">obtained from post-treatment tests. The sample </w:t>
      </w:r>
      <w:r w:rsidR="00131F93" w:rsidRPr="000412A1">
        <w:rPr>
          <w:sz w:val="22"/>
          <w:szCs w:val="22"/>
        </w:rPr>
        <w:t xml:space="preserve">was poured into a </w:t>
      </w:r>
      <w:r w:rsidR="008E7BB4" w:rsidRPr="000412A1">
        <w:rPr>
          <w:sz w:val="22"/>
          <w:szCs w:val="22"/>
        </w:rPr>
        <w:t>stainless-steel</w:t>
      </w:r>
      <w:r w:rsidR="00131F93" w:rsidRPr="000412A1">
        <w:rPr>
          <w:sz w:val="22"/>
          <w:szCs w:val="22"/>
        </w:rPr>
        <w:t xml:space="preserve"> tube (1.0 cm inner diameter) in contact with Whatman No. 17 chromatography-grade paper. CST was defined as the time required for the wetting front to pass from the first radius located at 1.0 cm of the cylindrical reservoir to the second radius</w:t>
      </w:r>
      <w:r w:rsidR="0055025B">
        <w:rPr>
          <w:sz w:val="22"/>
          <w:szCs w:val="22"/>
        </w:rPr>
        <w:t>,</w:t>
      </w:r>
      <w:r w:rsidR="00400527" w:rsidRPr="000412A1">
        <w:rPr>
          <w:sz w:val="22"/>
          <w:szCs w:val="22"/>
        </w:rPr>
        <w:t xml:space="preserve"> placed</w:t>
      </w:r>
      <w:r w:rsidR="00131F93" w:rsidRPr="000412A1">
        <w:rPr>
          <w:sz w:val="22"/>
          <w:szCs w:val="22"/>
        </w:rPr>
        <w:t xml:space="preserve"> at 3.0 cm. Three replicates were used. The CST </w:t>
      </w:r>
      <w:r w:rsidR="00400527" w:rsidRPr="000412A1">
        <w:rPr>
          <w:sz w:val="22"/>
          <w:szCs w:val="22"/>
        </w:rPr>
        <w:t xml:space="preserve">results </w:t>
      </w:r>
      <w:r w:rsidR="00131F93" w:rsidRPr="000412A1">
        <w:rPr>
          <w:sz w:val="22"/>
          <w:szCs w:val="22"/>
        </w:rPr>
        <w:t xml:space="preserve">were </w:t>
      </w:r>
      <w:r w:rsidR="00400527" w:rsidRPr="000412A1">
        <w:rPr>
          <w:sz w:val="22"/>
          <w:szCs w:val="22"/>
        </w:rPr>
        <w:t>normalised</w:t>
      </w:r>
      <w:r w:rsidR="00ED0EB5" w:rsidRPr="000412A1">
        <w:rPr>
          <w:sz w:val="22"/>
          <w:szCs w:val="22"/>
        </w:rPr>
        <w:t xml:space="preserve"> to CST</w:t>
      </w:r>
      <w:r w:rsidR="00400527" w:rsidRPr="000412A1">
        <w:rPr>
          <w:sz w:val="22"/>
          <w:szCs w:val="22"/>
        </w:rPr>
        <w:t xml:space="preserve"> </w:t>
      </w:r>
      <w:r w:rsidR="00ED0EB5" w:rsidRPr="000412A1">
        <w:rPr>
          <w:sz w:val="22"/>
          <w:szCs w:val="22"/>
        </w:rPr>
        <w:t>(s g L</w:t>
      </w:r>
      <w:r w:rsidR="00C02204" w:rsidRPr="000412A1">
        <w:rPr>
          <w:sz w:val="22"/>
          <w:szCs w:val="22"/>
          <w:vertAlign w:val="superscript"/>
        </w:rPr>
        <w:t>–</w:t>
      </w:r>
      <w:r w:rsidR="00ED0EB5" w:rsidRPr="000412A1">
        <w:rPr>
          <w:sz w:val="22"/>
          <w:szCs w:val="22"/>
          <w:vertAlign w:val="superscript"/>
        </w:rPr>
        <w:t>1</w:t>
      </w:r>
      <w:r w:rsidR="00ED0EB5" w:rsidRPr="000412A1">
        <w:rPr>
          <w:sz w:val="22"/>
          <w:szCs w:val="22"/>
        </w:rPr>
        <w:t xml:space="preserve">) </w:t>
      </w:r>
      <w:r w:rsidR="00131F93" w:rsidRPr="000412A1">
        <w:rPr>
          <w:sz w:val="22"/>
          <w:szCs w:val="22"/>
        </w:rPr>
        <w:t xml:space="preserve">by dividing </w:t>
      </w:r>
      <w:r w:rsidR="00400527" w:rsidRPr="000412A1">
        <w:rPr>
          <w:sz w:val="22"/>
          <w:szCs w:val="22"/>
        </w:rPr>
        <w:t xml:space="preserve">the value obtained </w:t>
      </w:r>
      <w:r w:rsidR="00131F93" w:rsidRPr="000412A1">
        <w:rPr>
          <w:sz w:val="22"/>
          <w:szCs w:val="22"/>
        </w:rPr>
        <w:t xml:space="preserve">by the </w:t>
      </w:r>
      <w:r w:rsidR="00F96740" w:rsidRPr="000412A1">
        <w:rPr>
          <w:sz w:val="22"/>
          <w:szCs w:val="22"/>
        </w:rPr>
        <w:t xml:space="preserve">concentration </w:t>
      </w:r>
      <w:r w:rsidR="00400527" w:rsidRPr="000412A1">
        <w:rPr>
          <w:sz w:val="22"/>
          <w:szCs w:val="22"/>
        </w:rPr>
        <w:t>of total suspended solids</w:t>
      </w:r>
      <w:r w:rsidR="007D30BA" w:rsidRPr="000412A1">
        <w:rPr>
          <w:sz w:val="22"/>
          <w:szCs w:val="22"/>
        </w:rPr>
        <w:t xml:space="preserve"> </w:t>
      </w:r>
      <w:r w:rsidR="00400527" w:rsidRPr="000412A1">
        <w:rPr>
          <w:sz w:val="22"/>
          <w:szCs w:val="22"/>
        </w:rPr>
        <w:t>(</w:t>
      </w:r>
      <w:r w:rsidR="00131F93" w:rsidRPr="000412A1">
        <w:rPr>
          <w:sz w:val="22"/>
          <w:szCs w:val="22"/>
        </w:rPr>
        <w:t>TSS</w:t>
      </w:r>
      <w:r w:rsidR="00400527" w:rsidRPr="000412A1">
        <w:rPr>
          <w:sz w:val="22"/>
          <w:szCs w:val="22"/>
        </w:rPr>
        <w:t>)</w:t>
      </w:r>
      <w:r w:rsidR="000F48D1" w:rsidRPr="000412A1">
        <w:rPr>
          <w:sz w:val="22"/>
          <w:szCs w:val="22"/>
        </w:rPr>
        <w:t xml:space="preserve"> and</w:t>
      </w:r>
      <w:r w:rsidR="00ED0EB5" w:rsidRPr="000412A1">
        <w:rPr>
          <w:sz w:val="22"/>
          <w:szCs w:val="22"/>
        </w:rPr>
        <w:t xml:space="preserve"> </w:t>
      </w:r>
      <w:r w:rsidR="000F48D1" w:rsidRPr="000412A1">
        <w:rPr>
          <w:sz w:val="22"/>
          <w:szCs w:val="22"/>
        </w:rPr>
        <w:t xml:space="preserve">subtracting the value of </w:t>
      </w:r>
      <w:r w:rsidR="0060432F" w:rsidRPr="000412A1">
        <w:rPr>
          <w:sz w:val="22"/>
          <w:szCs w:val="22"/>
        </w:rPr>
        <w:t>c</w:t>
      </w:r>
      <w:r w:rsidR="00A2059E" w:rsidRPr="000412A1">
        <w:rPr>
          <w:sz w:val="22"/>
          <w:szCs w:val="22"/>
        </w:rPr>
        <w:t xml:space="preserve">apillary suction time of </w:t>
      </w:r>
      <w:r w:rsidR="00697EE5">
        <w:rPr>
          <w:sz w:val="22"/>
          <w:szCs w:val="22"/>
        </w:rPr>
        <w:t xml:space="preserve">the </w:t>
      </w:r>
      <w:r w:rsidR="00A2059E" w:rsidRPr="000412A1">
        <w:rPr>
          <w:sz w:val="22"/>
          <w:szCs w:val="22"/>
        </w:rPr>
        <w:t>sludge water (</w:t>
      </w:r>
      <w:proofErr w:type="spellStart"/>
      <w:r w:rsidR="00A2059E" w:rsidRPr="000412A1">
        <w:rPr>
          <w:sz w:val="22"/>
          <w:szCs w:val="22"/>
        </w:rPr>
        <w:t>CSTw</w:t>
      </w:r>
      <w:proofErr w:type="spellEnd"/>
      <w:r w:rsidR="00A2059E" w:rsidRPr="000412A1">
        <w:rPr>
          <w:sz w:val="22"/>
          <w:szCs w:val="22"/>
        </w:rPr>
        <w:t>)</w:t>
      </w:r>
      <w:r w:rsidR="000F3E8F" w:rsidRPr="000412A1">
        <w:rPr>
          <w:sz w:val="22"/>
          <w:szCs w:val="22"/>
        </w:rPr>
        <w:t xml:space="preserve"> </w:t>
      </w:r>
      <w:r w:rsidR="00107AF5" w:rsidRPr="000412A1">
        <w:rPr>
          <w:sz w:val="22"/>
          <w:szCs w:val="22"/>
        </w:rPr>
        <w:t xml:space="preserve">according to </w:t>
      </w:r>
      <w:r w:rsidR="00697EE5">
        <w:rPr>
          <w:sz w:val="22"/>
          <w:szCs w:val="22"/>
        </w:rPr>
        <w:t>E</w:t>
      </w:r>
      <w:r w:rsidR="00697EE5" w:rsidRPr="000412A1">
        <w:rPr>
          <w:sz w:val="22"/>
          <w:szCs w:val="22"/>
        </w:rPr>
        <w:t xml:space="preserve">quation </w:t>
      </w:r>
      <w:r w:rsidR="00697EE5">
        <w:rPr>
          <w:sz w:val="22"/>
          <w:szCs w:val="22"/>
        </w:rPr>
        <w:t>(</w:t>
      </w:r>
      <w:r w:rsidR="00877E02" w:rsidRPr="000412A1">
        <w:rPr>
          <w:sz w:val="22"/>
          <w:szCs w:val="22"/>
        </w:rPr>
        <w:t>5</w:t>
      </w:r>
      <w:r w:rsidR="00697EE5">
        <w:rPr>
          <w:sz w:val="22"/>
          <w:szCs w:val="22"/>
        </w:rPr>
        <w:t>),</w:t>
      </w:r>
      <w:r w:rsidR="00107AF5" w:rsidRPr="000412A1">
        <w:rPr>
          <w:sz w:val="22"/>
          <w:szCs w:val="22"/>
        </w:rPr>
        <w:t xml:space="preserve"> </w:t>
      </w:r>
      <w:r w:rsidR="00EF0BA0" w:rsidRPr="000412A1">
        <w:rPr>
          <w:sz w:val="22"/>
          <w:szCs w:val="22"/>
        </w:rPr>
        <w:t xml:space="preserve">reported </w:t>
      </w:r>
      <w:r w:rsidR="003459B4" w:rsidRPr="000412A1">
        <w:rPr>
          <w:sz w:val="22"/>
          <w:szCs w:val="22"/>
        </w:rPr>
        <w:t xml:space="preserve">by </w:t>
      </w:r>
      <w:r w:rsidR="00A2059E" w:rsidRPr="000412A1">
        <w:rPr>
          <w:sz w:val="22"/>
          <w:szCs w:val="22"/>
        </w:rPr>
        <w:fldChar w:fldCharType="begin" w:fldLock="1"/>
      </w:r>
      <w:r w:rsidR="00A07857" w:rsidRPr="000412A1">
        <w:rPr>
          <w:sz w:val="22"/>
          <w:szCs w:val="22"/>
        </w:rPr>
        <w:instrText>ADDIN CSL_CITATION { "citationItems" : [ { "id" : "ITEM-1", "itemData" : { "DOI" : "10.1016/j.ultsonch.2004.02.005", "ISBN" : "8625835880", "ISSN" : "13504177", "abstract" : "Bio-sludge, which contains large quantities of water, biomass and extracellular polymeric substances (EPS), is difficult to be dewatered as a \"super-compactable\" sludge [Water Res. 35 (5) (2001) 1358]. Reported water content in bio-sludge was commonly about 80-90% wt after dewatering process. The EPS and the form of water in sludge influences the structure of sludge. Adding cationic fluctuations can change the form of water in sludge and increase the velocity of dewatering process, but has little influence on the final water content. According to Bien's work [Water Sci. Technol. 36 (4) (1997) 287], a combination of ultrasound or other method could agglomerate the sludge, improve the activities of biomass [Ultrasonics 38 (2000) 711; Ultrasonics 40 (2002) 25], enhance anaerobic process [Water Sci. Technol. 36 (11) (1997) 155; Water Sci. Technol. 36 (11) (1997) 121; Water Res. 35 (8) (2001) 2003; Water Sci. Technol. 36 (12) (1997) 117] and decrease over 10% final water content of sludge. The mechanisms of ultrasonic influence on sludge are not very clear, but the application of ultrasound to industrial process is relatively easy and possible. \u00a9 2004 Elsevier B.V. All rights reserved.", "author" : [ { "dropping-particle" : "", "family" : "Yin", "given" : "Xuan", "non-dropping-particle" : "", "parse-names" : false, "suffix" : "" }, { "dropping-particle" : "", "family" : "Han", "given" : "Pingfang", "non-dropping-particle" : "", "parse-names" : false, "suffix" : "" }, { "dropping-particle" : "", "family" : "Lu", "given" : "Xiaoping", "non-dropping-particle" : "", "parse-names" : false, "suffix" : "" }, { "dropping-particle" : "", "family" : "Wang", "given" : "Yanru", "non-dropping-particle" : "", "parse-names" : false, "suffix" : "" } ], "container-title" : "Ultrasonics Sonochemistry", "id" : "ITEM-1", "issue" : "6", "issued" : { "date-parts" : [ [ "2004" ] ] }, "page" : "337-348", "title" : "A review on the dewaterability of bio-sludge and ultrasound pretreatment", "type" : "article-journal", "volume" : "11" }, "uris" : [ "http://www.mendeley.com/documents/?uuid=3259eb79-47fa-42b0-9543-9e8015be01bf", "http://www.mendeley.com/documents/?uuid=99247a69-5801-4b48-ab5e-e4ff612d5c4b", "http://www.mendeley.com/documents/?uuid=03baae65-c02e-447b-a7fa-2d8de9603de0" ] } ], "mendeley" : { "formattedCitation" : "(Yin et al., 2004)", "plainTextFormattedCitation" : "(Yin et al., 2004)", "previouslyFormattedCitation" : "(Yin et al., 2004)" }, "properties" : {  }, "schema" : "https://github.com/citation-style-language/schema/raw/master/csl-citation.json" }</w:instrText>
      </w:r>
      <w:r w:rsidR="00A2059E" w:rsidRPr="000412A1">
        <w:rPr>
          <w:sz w:val="22"/>
          <w:szCs w:val="22"/>
        </w:rPr>
        <w:fldChar w:fldCharType="separate"/>
      </w:r>
      <w:r w:rsidR="00FD4989" w:rsidRPr="000412A1">
        <w:rPr>
          <w:noProof/>
          <w:sz w:val="22"/>
          <w:szCs w:val="22"/>
        </w:rPr>
        <w:t>Yin et al.</w:t>
      </w:r>
      <w:r w:rsidR="00EF0BA0" w:rsidRPr="000412A1">
        <w:rPr>
          <w:noProof/>
          <w:sz w:val="22"/>
          <w:szCs w:val="22"/>
        </w:rPr>
        <w:t xml:space="preserve"> (</w:t>
      </w:r>
      <w:r w:rsidR="00FD4989" w:rsidRPr="000412A1">
        <w:rPr>
          <w:noProof/>
          <w:sz w:val="22"/>
          <w:szCs w:val="22"/>
        </w:rPr>
        <w:t>2004)</w:t>
      </w:r>
      <w:r w:rsidR="00A2059E" w:rsidRPr="000412A1">
        <w:rPr>
          <w:sz w:val="22"/>
          <w:szCs w:val="22"/>
        </w:rPr>
        <w:fldChar w:fldCharType="end"/>
      </w:r>
      <w:r w:rsidR="00697EE5">
        <w:rPr>
          <w:sz w:val="22"/>
          <w:szCs w:val="22"/>
        </w:rPr>
        <w:t xml:space="preserve"> </w:t>
      </w:r>
      <w:r w:rsidR="00ED0EB5" w:rsidRPr="000412A1">
        <w:rPr>
          <w:sz w:val="22"/>
          <w:szCs w:val="22"/>
        </w:rPr>
        <w:t>(</w:t>
      </w:r>
      <w:proofErr w:type="spellStart"/>
      <w:r w:rsidR="00ED0EB5" w:rsidRPr="000412A1">
        <w:rPr>
          <w:sz w:val="22"/>
          <w:szCs w:val="22"/>
        </w:rPr>
        <w:t>CSTw</w:t>
      </w:r>
      <w:proofErr w:type="spellEnd"/>
      <w:r w:rsidR="001E0387" w:rsidRPr="000412A1">
        <w:rPr>
          <w:sz w:val="22"/>
          <w:szCs w:val="22"/>
        </w:rPr>
        <w:t xml:space="preserve"> </w:t>
      </w:r>
      <w:r w:rsidR="00ED0EB5" w:rsidRPr="000412A1">
        <w:rPr>
          <w:sz w:val="22"/>
          <w:szCs w:val="22"/>
        </w:rPr>
        <w:t>=</w:t>
      </w:r>
      <w:r w:rsidR="001E0387" w:rsidRPr="000412A1">
        <w:rPr>
          <w:sz w:val="22"/>
          <w:szCs w:val="22"/>
        </w:rPr>
        <w:t xml:space="preserve"> </w:t>
      </w:r>
      <w:r w:rsidR="00ED0EB5" w:rsidRPr="000412A1">
        <w:rPr>
          <w:sz w:val="22"/>
          <w:szCs w:val="22"/>
        </w:rPr>
        <w:t>8</w:t>
      </w:r>
      <w:r w:rsidR="001E0387" w:rsidRPr="000412A1">
        <w:rPr>
          <w:sz w:val="22"/>
          <w:szCs w:val="22"/>
        </w:rPr>
        <w:t xml:space="preserve"> </w:t>
      </w:r>
      <w:r w:rsidR="00ED0EB5" w:rsidRPr="000412A1">
        <w:rPr>
          <w:sz w:val="22"/>
          <w:szCs w:val="22"/>
        </w:rPr>
        <w:t>s)</w:t>
      </w:r>
      <w:r w:rsidR="00697EE5">
        <w:rPr>
          <w:sz w:val="22"/>
          <w:szCs w:val="22"/>
        </w:rPr>
        <w:t>:</w:t>
      </w:r>
    </w:p>
    <w:p w14:paraId="111AB10B" w14:textId="6EB44B6F" w:rsidR="00ED0EB5" w:rsidRPr="000412A1" w:rsidRDefault="00ED0EB5" w:rsidP="00ED2497">
      <w:pPr>
        <w:spacing w:before="240" w:after="220" w:line="480" w:lineRule="auto"/>
        <w:rPr>
          <w:sz w:val="22"/>
          <w:szCs w:val="22"/>
        </w:rPr>
      </w:pPr>
      <m:oMath>
        <m:r>
          <m:rPr>
            <m:sty m:val="p"/>
          </m:rPr>
          <w:rPr>
            <w:rFonts w:ascii="Cambria Math" w:hAnsi="Cambria Math"/>
            <w:sz w:val="22"/>
            <w:szCs w:val="22"/>
          </w:rPr>
          <m:t>CST=CSTs=CST-CSTw</m:t>
        </m:r>
      </m:oMath>
      <w:r w:rsidR="003E212A" w:rsidRPr="000412A1">
        <w:rPr>
          <w:sz w:val="22"/>
          <w:szCs w:val="22"/>
        </w:rPr>
        <w:tab/>
      </w:r>
      <w:r w:rsidR="003E212A" w:rsidRPr="000412A1">
        <w:rPr>
          <w:sz w:val="22"/>
          <w:szCs w:val="22"/>
        </w:rPr>
        <w:tab/>
      </w:r>
      <w:r w:rsidR="003E212A" w:rsidRPr="000412A1">
        <w:rPr>
          <w:sz w:val="22"/>
          <w:szCs w:val="22"/>
        </w:rPr>
        <w:tab/>
      </w:r>
      <w:r w:rsidR="003E212A" w:rsidRPr="000412A1">
        <w:rPr>
          <w:sz w:val="22"/>
          <w:szCs w:val="22"/>
        </w:rPr>
        <w:tab/>
      </w:r>
      <w:r w:rsidR="003E212A" w:rsidRPr="000412A1">
        <w:rPr>
          <w:sz w:val="22"/>
          <w:szCs w:val="22"/>
        </w:rPr>
        <w:tab/>
      </w:r>
      <w:r w:rsidR="003E212A" w:rsidRPr="000412A1">
        <w:rPr>
          <w:sz w:val="22"/>
          <w:szCs w:val="22"/>
        </w:rPr>
        <w:tab/>
      </w:r>
      <w:r w:rsidR="003E212A" w:rsidRPr="000412A1">
        <w:rPr>
          <w:sz w:val="22"/>
          <w:szCs w:val="22"/>
        </w:rPr>
        <w:tab/>
      </w:r>
      <w:r w:rsidR="003E212A" w:rsidRPr="000412A1">
        <w:rPr>
          <w:sz w:val="22"/>
          <w:szCs w:val="22"/>
        </w:rPr>
        <w:tab/>
        <w:t>(5</w:t>
      </w:r>
      <w:r w:rsidR="00B243EF" w:rsidRPr="000412A1">
        <w:rPr>
          <w:sz w:val="22"/>
          <w:szCs w:val="22"/>
        </w:rPr>
        <w:t>)</w:t>
      </w:r>
    </w:p>
    <w:p w14:paraId="708AB721" w14:textId="5C8E9C36" w:rsidR="00131F93" w:rsidRPr="000412A1" w:rsidRDefault="00131F93" w:rsidP="008E7BB4">
      <w:pPr>
        <w:spacing w:before="240" w:after="220" w:line="480" w:lineRule="auto"/>
        <w:rPr>
          <w:sz w:val="22"/>
          <w:szCs w:val="22"/>
        </w:rPr>
      </w:pPr>
      <w:r w:rsidRPr="000412A1">
        <w:rPr>
          <w:sz w:val="22"/>
          <w:szCs w:val="22"/>
        </w:rPr>
        <w:t xml:space="preserve">Specific resistance to filtration (SRF) was measured using a 9 cm standard Buchner funnel (fitted to constant vacuum pressure) </w:t>
      </w:r>
      <w:r w:rsidR="00256692" w:rsidRPr="000412A1">
        <w:rPr>
          <w:sz w:val="22"/>
          <w:szCs w:val="22"/>
        </w:rPr>
        <w:t>where</w:t>
      </w:r>
      <w:r w:rsidRPr="000412A1">
        <w:rPr>
          <w:sz w:val="22"/>
          <w:szCs w:val="22"/>
        </w:rPr>
        <w:t xml:space="preserve"> the sludge sample was poured. Filtrate volume and filtration time were recorded. SRF was calculated as the slope of the linear plot of volume </w:t>
      </w:r>
      <w:r w:rsidRPr="009A0A82">
        <w:rPr>
          <w:sz w:val="22"/>
          <w:szCs w:val="22"/>
        </w:rPr>
        <w:t>v</w:t>
      </w:r>
      <w:r w:rsidR="00EC0B4F">
        <w:rPr>
          <w:sz w:val="22"/>
          <w:szCs w:val="22"/>
        </w:rPr>
        <w:t>ersu</w:t>
      </w:r>
      <w:r w:rsidRPr="009A0A82">
        <w:rPr>
          <w:sz w:val="22"/>
          <w:szCs w:val="22"/>
        </w:rPr>
        <w:t>s</w:t>
      </w:r>
      <w:r w:rsidRPr="000412A1">
        <w:rPr>
          <w:sz w:val="22"/>
          <w:szCs w:val="22"/>
        </w:rPr>
        <w:t xml:space="preserve"> time/volume </w:t>
      </w:r>
      <w:r w:rsidRPr="000412A1">
        <w:rPr>
          <w:sz w:val="22"/>
          <w:szCs w:val="22"/>
        </w:rPr>
        <w:fldChar w:fldCharType="begin" w:fldLock="1"/>
      </w:r>
      <w:r w:rsidR="00A07857" w:rsidRPr="000412A1">
        <w:rPr>
          <w:sz w:val="22"/>
          <w:szCs w:val="22"/>
        </w:rPr>
        <w:instrText>ADDIN CSL_CITATION { "citationItems" : [ { "id" : "ITEM-1", "itemData" : { "DOI" : "10.1021/es010834x", "ISSN" : "0013-936X", "author" : [ { "dropping-particle" : "", "family" : "Lo", "given" : "Irene M. C.", "non-dropping-particle" : "", "parse-names" : false, "suffix" : "" }, { "dropping-particle" : "", "family" : "Lai", "given" : "Keith C. K.", "non-dropping-particle" : "", "parse-names" : false, "suffix" : "" }, { "dropping-particle" : "", "family" : "Chen", "given" : "G. H.", "non-dropping-particle" : "", "parse-names" : false, "suffix" : "" } ], "container-title" : "Environmental Science &amp; Technology", "id" : "ITEM-1", "issue" : "23", "issued" : { "date-parts" : [ [ "2001", "12" ] ] }, "page" : "4691-4696", "title" : "Salinity Effect on Mechanical Dewatering of Sludge with and without Chemical Conditioning", "type" : "article-journal", "volume" : "35" }, "uris" : [ "http://www.mendeley.com/documents/?uuid=c2d54284-328b-3768-b5b2-13ee1a78b075", "http://www.mendeley.com/documents/?uuid=d010c09e-80bd-4deb-98a6-1c44b61f2c70", "http://www.mendeley.com/documents/?uuid=7bc5ee88-8133-4b41-a1ed-562b44d31d2d" ] } ], "mendeley" : { "formattedCitation" : "(Lo et al., 2001)", "plainTextFormattedCitation" : "(Lo et al., 2001)", "previouslyFormattedCitation" : "(Lo et al., 2001)" }, "properties" : {  }, "schema" : "https://github.com/citation-style-language/schema/raw/master/csl-citation.json" }</w:instrText>
      </w:r>
      <w:r w:rsidRPr="000412A1">
        <w:rPr>
          <w:sz w:val="22"/>
          <w:szCs w:val="22"/>
        </w:rPr>
        <w:fldChar w:fldCharType="separate"/>
      </w:r>
      <w:r w:rsidR="00FD4989" w:rsidRPr="000412A1">
        <w:rPr>
          <w:noProof/>
          <w:sz w:val="22"/>
          <w:szCs w:val="22"/>
        </w:rPr>
        <w:t>(Lo et al., 2001)</w:t>
      </w:r>
      <w:r w:rsidRPr="000412A1">
        <w:rPr>
          <w:sz w:val="22"/>
          <w:szCs w:val="22"/>
        </w:rPr>
        <w:fldChar w:fldCharType="end"/>
      </w:r>
      <w:r w:rsidRPr="000412A1">
        <w:rPr>
          <w:sz w:val="22"/>
          <w:szCs w:val="22"/>
        </w:rPr>
        <w:t xml:space="preserve">. The water content of the sludge cake trapped by the filter </w:t>
      </w:r>
      <w:r w:rsidRPr="000412A1">
        <w:rPr>
          <w:sz w:val="22"/>
          <w:szCs w:val="22"/>
        </w:rPr>
        <w:lastRenderedPageBreak/>
        <w:t xml:space="preserve">paper was measured </w:t>
      </w:r>
      <w:r w:rsidR="009D3055" w:rsidRPr="000412A1">
        <w:rPr>
          <w:sz w:val="22"/>
          <w:szCs w:val="22"/>
        </w:rPr>
        <w:t>following</w:t>
      </w:r>
      <w:r w:rsidRPr="000412A1">
        <w:rPr>
          <w:sz w:val="22"/>
          <w:szCs w:val="22"/>
        </w:rPr>
        <w:t xml:space="preserve"> standard methods </w:t>
      </w:r>
      <w:r w:rsidRPr="000412A1">
        <w:rPr>
          <w:sz w:val="22"/>
          <w:szCs w:val="22"/>
        </w:rPr>
        <w:fldChar w:fldCharType="begin" w:fldLock="1"/>
      </w:r>
      <w:r w:rsidR="00A07857" w:rsidRPr="000412A1">
        <w:rPr>
          <w:sz w:val="22"/>
          <w:szCs w:val="22"/>
        </w:rPr>
        <w:instrText>ADDIN CSL_CITATION { "citationItems" : [ { "id" : "ITEM-1", "itemData" : { "author" : [ { "dropping-particle" : "", "family" : "American Public Health Association", "given" : "APHA", "non-dropping-particle" : "", "parse-names" : false, "suffix" : "" } ], "id" : "ITEM-1", "issued" : { "date-parts" : [ [ "1998" ] ] }, "publisher" : "American public health association Washington, DC", "title" : "Standard methods for the examination of water and wastewater", "type" : "article-journal" }, "uris" : [ "http://www.mendeley.com/documents/?uuid=9d98b82a-19fd-490a-9f46-b1e0afd881af", "http://www.mendeley.com/documents/?uuid=a86d1d8f-ced3-46d7-b7a1-0293d6005035" ] } ], "mendeley" : { "formattedCitation" : "(American Public Health Association, 1998)", "plainTextFormattedCitation" : "(American Public Health Association, 1998)", "previouslyFormattedCitation" : "(American Public Health Association, 1998)" }, "properties" : {  }, "schema" : "https://github.com/citation-style-language/schema/raw/master/csl-citation.json" }</w:instrText>
      </w:r>
      <w:r w:rsidRPr="000412A1">
        <w:rPr>
          <w:sz w:val="22"/>
          <w:szCs w:val="22"/>
        </w:rPr>
        <w:fldChar w:fldCharType="separate"/>
      </w:r>
      <w:r w:rsidR="00FD4989" w:rsidRPr="000412A1">
        <w:rPr>
          <w:noProof/>
          <w:sz w:val="22"/>
          <w:szCs w:val="22"/>
        </w:rPr>
        <w:t>(American Public Health Association, 1998)</w:t>
      </w:r>
      <w:r w:rsidRPr="000412A1">
        <w:rPr>
          <w:sz w:val="22"/>
          <w:szCs w:val="22"/>
        </w:rPr>
        <w:fldChar w:fldCharType="end"/>
      </w:r>
      <w:r w:rsidRPr="000412A1">
        <w:rPr>
          <w:sz w:val="22"/>
          <w:szCs w:val="22"/>
        </w:rPr>
        <w:t xml:space="preserve">. Three replicates were </w:t>
      </w:r>
      <w:r w:rsidR="00CD4BA0" w:rsidRPr="000412A1">
        <w:rPr>
          <w:sz w:val="22"/>
          <w:szCs w:val="22"/>
        </w:rPr>
        <w:t>evaluated</w:t>
      </w:r>
      <w:r w:rsidRPr="000412A1">
        <w:rPr>
          <w:sz w:val="22"/>
          <w:szCs w:val="22"/>
        </w:rPr>
        <w:t>.</w:t>
      </w:r>
    </w:p>
    <w:p w14:paraId="14226FE6" w14:textId="12A43EA8" w:rsidR="005C4A5E" w:rsidRPr="000412A1" w:rsidRDefault="00131F93" w:rsidP="005C4A5E">
      <w:pPr>
        <w:spacing w:before="240" w:after="220" w:line="480" w:lineRule="auto"/>
        <w:rPr>
          <w:sz w:val="22"/>
          <w:szCs w:val="22"/>
        </w:rPr>
      </w:pPr>
      <w:r w:rsidRPr="000412A1">
        <w:rPr>
          <w:sz w:val="22"/>
          <w:szCs w:val="22"/>
        </w:rPr>
        <w:t>Free and bound water in</w:t>
      </w:r>
      <w:r w:rsidR="00697EE5">
        <w:rPr>
          <w:sz w:val="22"/>
          <w:szCs w:val="22"/>
        </w:rPr>
        <w:t xml:space="preserve"> the</w:t>
      </w:r>
      <w:r w:rsidRPr="000412A1">
        <w:rPr>
          <w:sz w:val="22"/>
          <w:szCs w:val="22"/>
        </w:rPr>
        <w:t xml:space="preserve"> sludge </w:t>
      </w:r>
      <w:r w:rsidR="00643B08" w:rsidRPr="000412A1">
        <w:rPr>
          <w:sz w:val="22"/>
          <w:szCs w:val="22"/>
        </w:rPr>
        <w:t xml:space="preserve">was </w:t>
      </w:r>
      <w:r w:rsidRPr="000412A1">
        <w:rPr>
          <w:sz w:val="22"/>
          <w:szCs w:val="22"/>
        </w:rPr>
        <w:t xml:space="preserve">measured using a thickened sludge sample that was centrifuged at </w:t>
      </w:r>
      <w:r w:rsidR="00CD4BA0" w:rsidRPr="000412A1">
        <w:rPr>
          <w:sz w:val="22"/>
          <w:szCs w:val="22"/>
        </w:rPr>
        <w:t>7600</w:t>
      </w:r>
      <w:r w:rsidRPr="009A0A82">
        <w:rPr>
          <w:i/>
          <w:iCs/>
          <w:sz w:val="22"/>
          <w:szCs w:val="22"/>
        </w:rPr>
        <w:t>g</w:t>
      </w:r>
      <w:r w:rsidRPr="000412A1">
        <w:rPr>
          <w:sz w:val="22"/>
          <w:szCs w:val="22"/>
        </w:rPr>
        <w:t xml:space="preserve"> for 20 min</w:t>
      </w:r>
      <w:r w:rsidR="009968AA" w:rsidRPr="000412A1">
        <w:rPr>
          <w:sz w:val="22"/>
          <w:szCs w:val="22"/>
        </w:rPr>
        <w:t>utes</w:t>
      </w:r>
      <w:r w:rsidRPr="000412A1">
        <w:rPr>
          <w:sz w:val="22"/>
          <w:szCs w:val="22"/>
        </w:rPr>
        <w:t xml:space="preserve">. </w:t>
      </w:r>
      <w:r w:rsidR="00643B08" w:rsidRPr="000412A1">
        <w:rPr>
          <w:sz w:val="22"/>
          <w:szCs w:val="22"/>
        </w:rPr>
        <w:t>A sample was collected from the pellet</w:t>
      </w:r>
      <w:r w:rsidRPr="000412A1">
        <w:rPr>
          <w:sz w:val="22"/>
          <w:szCs w:val="22"/>
        </w:rPr>
        <w:t xml:space="preserve"> for d</w:t>
      </w:r>
      <w:r w:rsidR="00A2059E" w:rsidRPr="000412A1">
        <w:rPr>
          <w:sz w:val="22"/>
          <w:szCs w:val="22"/>
        </w:rPr>
        <w:t>rying at a constant airflow of 1</w:t>
      </w:r>
      <w:r w:rsidRPr="000412A1">
        <w:rPr>
          <w:sz w:val="22"/>
          <w:szCs w:val="22"/>
        </w:rPr>
        <w:t>00 mL</w:t>
      </w:r>
      <w:r w:rsidR="00CD4BA0" w:rsidRPr="000412A1">
        <w:rPr>
          <w:sz w:val="22"/>
          <w:szCs w:val="22"/>
        </w:rPr>
        <w:t xml:space="preserve"> </w:t>
      </w:r>
      <w:r w:rsidRPr="000412A1">
        <w:rPr>
          <w:sz w:val="22"/>
          <w:szCs w:val="22"/>
        </w:rPr>
        <w:t>min</w:t>
      </w:r>
      <w:r w:rsidR="00C02204" w:rsidRPr="000412A1">
        <w:rPr>
          <w:sz w:val="22"/>
          <w:szCs w:val="22"/>
          <w:vertAlign w:val="superscript"/>
        </w:rPr>
        <w:t>–</w:t>
      </w:r>
      <w:r w:rsidR="00CD4BA0" w:rsidRPr="000412A1">
        <w:rPr>
          <w:sz w:val="22"/>
          <w:szCs w:val="22"/>
          <w:vertAlign w:val="superscript"/>
        </w:rPr>
        <w:t>1</w:t>
      </w:r>
      <w:r w:rsidRPr="000412A1">
        <w:rPr>
          <w:sz w:val="22"/>
          <w:szCs w:val="22"/>
        </w:rPr>
        <w:t xml:space="preserve"> at 105 °C </w:t>
      </w:r>
      <w:r w:rsidR="007B2C96" w:rsidRPr="000412A1">
        <w:rPr>
          <w:sz w:val="22"/>
          <w:szCs w:val="22"/>
        </w:rPr>
        <w:fldChar w:fldCharType="begin" w:fldLock="1"/>
      </w:r>
      <w:r w:rsidR="00A07857" w:rsidRPr="000412A1">
        <w:rPr>
          <w:sz w:val="22"/>
          <w:szCs w:val="22"/>
        </w:rPr>
        <w:instrText>ADDIN CSL_CITATION { "citationItems" : [ { "id" : "ITEM-1", "itemData" : { "ISSN" : "02731223", "PMID" : "11443955", "abstract" : "The dewaterability of sewage sludge can be described by the total solids concentration of the sludge cake and the polymer-demand for conditioning. The total solids concentration of the sludge cake depends on the physical water distribution. The various types of water in sewage sludge are mainly distinguished by the type and the intensity of their physical bonding to the solids. In a sewage sludge suspension four different types of water can be distinguished. These are the free water, which is not bound to the particles, the interstitial water, which is bound by capillary forces between the sludge flocs, the surface water, which is bound by adhesive forces and intracellular water. Only the share of free water can be separated during mechanical dewatering. It can be shown, that by thermo-gravimeteric measurement of the free water content, an exact prediction of full-scale dewatering results is possible. By separation of all free water during centrifugation the maximum dewatering result is reached. Polymer conditioning increases the velocity of the sludge water release, but the free water content is not influenced by this process. Furthermore it is not possible, to replace the measuring of the water distribution by other individual parameters such as ignition loss.", "author" : [ { "dropping-particle" : "", "family" : "Kopp", "given" : "J.", "non-dropping-particle" : "", "parse-names" : false, "suffix" : "" }, { "dropping-particle" : "", "family" : "Dichtl", "given" : "N.", "non-dropping-particle" : "", "parse-names" : false, "suffix" : "" } ], "container-title" : "Water Science and Technology", "id" : "ITEM-1", "issue" : "11", "issued" : { "date-parts" : [ [ "2001" ] ] }, "page" : "135-143", "title" : "Prediction of full-scale dewatering results of sewage sludges by the physical water distribution", "type" : "paper-conference", "volume" : "43" }, "uris" : [ "http://www.mendeley.com/documents/?uuid=8a985b1c-5e41-481e-8a69-84579d61ec55", "http://www.mendeley.com/documents/?uuid=7edf62df-418d-4691-9422-0908052bfe15" ] } ], "mendeley" : { "formattedCitation" : "(Kopp and Dichtl, 2001)", "plainTextFormattedCitation" : "(Kopp and Dichtl, 2001)", "previouslyFormattedCitation" : "(Kopp and Dichtl, 2001)" }, "properties" : {  }, "schema" : "https://github.com/citation-style-language/schema/raw/master/csl-citation.json" }</w:instrText>
      </w:r>
      <w:r w:rsidR="007B2C96" w:rsidRPr="000412A1">
        <w:rPr>
          <w:sz w:val="22"/>
          <w:szCs w:val="22"/>
        </w:rPr>
        <w:fldChar w:fldCharType="separate"/>
      </w:r>
      <w:r w:rsidR="00FD4989" w:rsidRPr="000412A1">
        <w:rPr>
          <w:noProof/>
          <w:sz w:val="22"/>
          <w:szCs w:val="22"/>
        </w:rPr>
        <w:t>(Kopp and Dichtl, 2001)</w:t>
      </w:r>
      <w:r w:rsidR="007B2C96" w:rsidRPr="000412A1">
        <w:rPr>
          <w:sz w:val="22"/>
          <w:szCs w:val="22"/>
        </w:rPr>
        <w:fldChar w:fldCharType="end"/>
      </w:r>
      <w:r w:rsidRPr="000412A1">
        <w:rPr>
          <w:sz w:val="22"/>
          <w:szCs w:val="22"/>
        </w:rPr>
        <w:t xml:space="preserve"> using a </w:t>
      </w:r>
      <w:proofErr w:type="spellStart"/>
      <w:r w:rsidR="00643B08" w:rsidRPr="000412A1">
        <w:rPr>
          <w:sz w:val="22"/>
          <w:szCs w:val="22"/>
        </w:rPr>
        <w:t>thermobalance</w:t>
      </w:r>
      <w:proofErr w:type="spellEnd"/>
      <w:r w:rsidR="00643B08" w:rsidRPr="000412A1">
        <w:rPr>
          <w:sz w:val="22"/>
          <w:szCs w:val="22"/>
        </w:rPr>
        <w:t xml:space="preserve"> (</w:t>
      </w:r>
      <w:r w:rsidR="00B65434" w:rsidRPr="000412A1">
        <w:rPr>
          <w:sz w:val="22"/>
          <w:szCs w:val="22"/>
        </w:rPr>
        <w:t>STD Q600</w:t>
      </w:r>
      <w:r w:rsidR="00643B08" w:rsidRPr="000412A1">
        <w:rPr>
          <w:sz w:val="22"/>
          <w:szCs w:val="22"/>
        </w:rPr>
        <w:t>,</w:t>
      </w:r>
      <w:r w:rsidR="00B65434" w:rsidRPr="000412A1">
        <w:rPr>
          <w:sz w:val="22"/>
          <w:szCs w:val="22"/>
        </w:rPr>
        <w:t xml:space="preserve"> </w:t>
      </w:r>
      <w:r w:rsidRPr="000412A1">
        <w:rPr>
          <w:sz w:val="22"/>
          <w:szCs w:val="22"/>
        </w:rPr>
        <w:t>TA Instruments</w:t>
      </w:r>
      <w:r w:rsidR="00643B08" w:rsidRPr="000412A1">
        <w:rPr>
          <w:sz w:val="22"/>
          <w:szCs w:val="22"/>
        </w:rPr>
        <w:t>)</w:t>
      </w:r>
      <w:r w:rsidRPr="000412A1">
        <w:rPr>
          <w:sz w:val="22"/>
          <w:szCs w:val="22"/>
        </w:rPr>
        <w:t xml:space="preserve">. </w:t>
      </w:r>
      <w:r w:rsidR="00697EE5">
        <w:rPr>
          <w:sz w:val="22"/>
          <w:szCs w:val="22"/>
        </w:rPr>
        <w:t>W</w:t>
      </w:r>
      <w:r w:rsidRPr="000412A1">
        <w:rPr>
          <w:sz w:val="22"/>
          <w:szCs w:val="22"/>
        </w:rPr>
        <w:t xml:space="preserve">ater distribution </w:t>
      </w:r>
      <w:r w:rsidR="00697EE5">
        <w:rPr>
          <w:sz w:val="22"/>
          <w:szCs w:val="22"/>
        </w:rPr>
        <w:t xml:space="preserve">was </w:t>
      </w:r>
      <w:r w:rsidRPr="000412A1">
        <w:rPr>
          <w:sz w:val="22"/>
          <w:szCs w:val="22"/>
        </w:rPr>
        <w:t xml:space="preserve">derived from the curve of drying time </w:t>
      </w:r>
      <w:r w:rsidRPr="009A0A82">
        <w:rPr>
          <w:iCs/>
          <w:sz w:val="22"/>
          <w:szCs w:val="22"/>
        </w:rPr>
        <w:t>v</w:t>
      </w:r>
      <w:r w:rsidR="00EC0B4F">
        <w:rPr>
          <w:iCs/>
          <w:sz w:val="22"/>
          <w:szCs w:val="22"/>
        </w:rPr>
        <w:t>ersu</w:t>
      </w:r>
      <w:r w:rsidR="00643B08" w:rsidRPr="009A0A82">
        <w:rPr>
          <w:iCs/>
          <w:sz w:val="22"/>
          <w:szCs w:val="22"/>
        </w:rPr>
        <w:t>s</w:t>
      </w:r>
      <w:r w:rsidRPr="000412A1">
        <w:rPr>
          <w:sz w:val="22"/>
          <w:szCs w:val="22"/>
        </w:rPr>
        <w:t xml:space="preserve"> water content (</w:t>
      </w:r>
      <w:r w:rsidR="00697EE5" w:rsidRPr="000412A1">
        <w:rPr>
          <w:sz w:val="22"/>
          <w:szCs w:val="22"/>
        </w:rPr>
        <w:t xml:space="preserve">water </w:t>
      </w:r>
      <w:r w:rsidRPr="000412A1">
        <w:rPr>
          <w:sz w:val="22"/>
          <w:szCs w:val="22"/>
        </w:rPr>
        <w:t>mass/</w:t>
      </w:r>
      <w:r w:rsidR="00697EE5" w:rsidRPr="000412A1">
        <w:rPr>
          <w:sz w:val="22"/>
          <w:szCs w:val="22"/>
        </w:rPr>
        <w:t xml:space="preserve">solids </w:t>
      </w:r>
      <w:r w:rsidRPr="000412A1">
        <w:rPr>
          <w:sz w:val="22"/>
          <w:szCs w:val="22"/>
        </w:rPr>
        <w:t xml:space="preserve">mass) of the sample. </w:t>
      </w:r>
      <w:r w:rsidR="00643B08" w:rsidRPr="000412A1">
        <w:rPr>
          <w:sz w:val="22"/>
          <w:szCs w:val="22"/>
        </w:rPr>
        <w:t>Data from t</w:t>
      </w:r>
      <w:r w:rsidRPr="000412A1">
        <w:rPr>
          <w:sz w:val="22"/>
          <w:szCs w:val="22"/>
        </w:rPr>
        <w:t xml:space="preserve">hree replicates were used for obtaining </w:t>
      </w:r>
      <w:r w:rsidR="00CD4BA0" w:rsidRPr="000412A1">
        <w:rPr>
          <w:sz w:val="22"/>
          <w:szCs w:val="22"/>
        </w:rPr>
        <w:t>th</w:t>
      </w:r>
      <w:r w:rsidR="00643B08" w:rsidRPr="000412A1">
        <w:rPr>
          <w:sz w:val="22"/>
          <w:szCs w:val="22"/>
        </w:rPr>
        <w:t>e</w:t>
      </w:r>
      <w:r w:rsidR="00CD4BA0" w:rsidRPr="000412A1">
        <w:rPr>
          <w:sz w:val="22"/>
          <w:szCs w:val="22"/>
        </w:rPr>
        <w:t xml:space="preserve"> </w:t>
      </w:r>
      <w:r w:rsidRPr="000412A1">
        <w:rPr>
          <w:sz w:val="22"/>
          <w:szCs w:val="22"/>
        </w:rPr>
        <w:t>curve.</w:t>
      </w:r>
      <w:r w:rsidR="005C4A5E" w:rsidRPr="000412A1">
        <w:rPr>
          <w:sz w:val="22"/>
          <w:szCs w:val="22"/>
        </w:rPr>
        <w:t xml:space="preserve"> Water</w:t>
      </w:r>
      <w:r w:rsidR="00EC0B4F">
        <w:rPr>
          <w:sz w:val="22"/>
          <w:szCs w:val="22"/>
        </w:rPr>
        <w:t xml:space="preserve"> </w:t>
      </w:r>
      <w:r w:rsidR="005C4A5E" w:rsidRPr="000412A1">
        <w:rPr>
          <w:sz w:val="22"/>
          <w:szCs w:val="22"/>
        </w:rPr>
        <w:t>release curves were obtained from previously determined</w:t>
      </w:r>
      <w:r w:rsidR="00697EE5" w:rsidRPr="00697EE5">
        <w:rPr>
          <w:sz w:val="22"/>
          <w:szCs w:val="22"/>
        </w:rPr>
        <w:t xml:space="preserve"> </w:t>
      </w:r>
      <w:r w:rsidR="00697EE5" w:rsidRPr="000412A1">
        <w:rPr>
          <w:sz w:val="22"/>
          <w:szCs w:val="22"/>
        </w:rPr>
        <w:t>drying data</w:t>
      </w:r>
      <w:r w:rsidR="005C4A5E" w:rsidRPr="000412A1">
        <w:rPr>
          <w:sz w:val="22"/>
          <w:szCs w:val="22"/>
        </w:rPr>
        <w:t>. Data were fitted to a logistic S-shape curve (Eq</w:t>
      </w:r>
      <w:r w:rsidR="00C02204" w:rsidRPr="000412A1">
        <w:rPr>
          <w:sz w:val="22"/>
          <w:szCs w:val="22"/>
        </w:rPr>
        <w:t>uation</w:t>
      </w:r>
      <w:r w:rsidR="005C4A5E" w:rsidRPr="000412A1">
        <w:rPr>
          <w:sz w:val="22"/>
          <w:szCs w:val="22"/>
        </w:rPr>
        <w:t xml:space="preserve"> </w:t>
      </w:r>
      <w:r w:rsidR="00C02204" w:rsidRPr="000412A1">
        <w:rPr>
          <w:sz w:val="22"/>
          <w:szCs w:val="22"/>
        </w:rPr>
        <w:t>(</w:t>
      </w:r>
      <w:r w:rsidR="005C4A5E" w:rsidRPr="000412A1">
        <w:rPr>
          <w:sz w:val="22"/>
          <w:szCs w:val="22"/>
        </w:rPr>
        <w:t>6</w:t>
      </w:r>
      <w:r w:rsidR="00C02204" w:rsidRPr="000412A1">
        <w:rPr>
          <w:sz w:val="22"/>
          <w:szCs w:val="22"/>
        </w:rPr>
        <w:t>)</w:t>
      </w:r>
      <w:r w:rsidR="005C4A5E" w:rsidRPr="000412A1">
        <w:rPr>
          <w:sz w:val="22"/>
          <w:szCs w:val="22"/>
        </w:rPr>
        <w:t xml:space="preserve">) using </w:t>
      </w:r>
      <w:r w:rsidR="00786F8B" w:rsidRPr="000412A1">
        <w:rPr>
          <w:sz w:val="22"/>
          <w:szCs w:val="22"/>
        </w:rPr>
        <w:t xml:space="preserve">data analysis </w:t>
      </w:r>
      <w:r w:rsidR="00D60B49" w:rsidRPr="000412A1">
        <w:rPr>
          <w:sz w:val="22"/>
          <w:szCs w:val="22"/>
        </w:rPr>
        <w:t>and</w:t>
      </w:r>
      <w:r w:rsidR="00786F8B" w:rsidRPr="000412A1">
        <w:rPr>
          <w:sz w:val="22"/>
          <w:szCs w:val="22"/>
        </w:rPr>
        <w:t xml:space="preserve"> graphing software (</w:t>
      </w:r>
      <w:proofErr w:type="spellStart"/>
      <w:r w:rsidR="005C4A5E" w:rsidRPr="000412A1">
        <w:rPr>
          <w:sz w:val="22"/>
          <w:szCs w:val="22"/>
        </w:rPr>
        <w:t>OriginPro</w:t>
      </w:r>
      <w:proofErr w:type="spellEnd"/>
      <w:r w:rsidR="005C4A5E" w:rsidRPr="000412A1">
        <w:rPr>
          <w:sz w:val="22"/>
          <w:szCs w:val="22"/>
        </w:rPr>
        <w:t xml:space="preserve"> 2015</w:t>
      </w:r>
      <w:r w:rsidR="00786F8B" w:rsidRPr="000412A1">
        <w:rPr>
          <w:sz w:val="22"/>
          <w:szCs w:val="22"/>
        </w:rPr>
        <w:t>)</w:t>
      </w:r>
      <w:r w:rsidR="00B7401C" w:rsidRPr="000412A1">
        <w:rPr>
          <w:sz w:val="22"/>
          <w:szCs w:val="22"/>
        </w:rPr>
        <w:t>.</w:t>
      </w:r>
    </w:p>
    <w:p w14:paraId="082B8035" w14:textId="71AFF11F" w:rsidR="005C4A5E" w:rsidRPr="000412A1" w:rsidRDefault="005C4A5E" w:rsidP="005C4A5E">
      <w:pPr>
        <w:spacing w:before="240" w:after="220" w:line="480" w:lineRule="auto"/>
        <w:rPr>
          <w:sz w:val="22"/>
          <w:szCs w:val="22"/>
        </w:rPr>
      </w:pPr>
      <m:oMath>
        <m:r>
          <w:rPr>
            <w:rFonts w:ascii="Cambria Math" w:hAnsi="Cambria Math"/>
            <w:sz w:val="22"/>
            <w:szCs w:val="22"/>
          </w:rPr>
          <m:t xml:space="preserve">Water release </m:t>
        </m:r>
        <m:d>
          <m:dPr>
            <m:ctrlPr>
              <w:rPr>
                <w:rFonts w:ascii="Cambria Math" w:hAnsi="Cambria Math"/>
                <w:i/>
                <w:sz w:val="22"/>
                <w:szCs w:val="22"/>
              </w:rPr>
            </m:ctrlPr>
          </m:dPr>
          <m:e>
            <m:r>
              <w:rPr>
                <w:rFonts w:ascii="Cambria Math" w:hAnsi="Cambria Math"/>
                <w:sz w:val="22"/>
                <w:szCs w:val="22"/>
              </w:rPr>
              <m:t>%</m:t>
            </m:r>
          </m:e>
        </m:d>
        <m:r>
          <w:rPr>
            <w:rFonts w:ascii="Cambria Math" w:hAnsi="Cambria Math"/>
            <w:sz w:val="22"/>
            <w:szCs w:val="22"/>
          </w:rPr>
          <m:t>=</m:t>
        </m:r>
        <m:f>
          <m:fPr>
            <m:type m:val="lin"/>
            <m:ctrlPr>
              <w:rPr>
                <w:rFonts w:ascii="Cambria Math" w:hAnsi="Cambria Math"/>
                <w:i/>
                <w:sz w:val="22"/>
                <w:szCs w:val="22"/>
              </w:rPr>
            </m:ctrlPr>
          </m:fPr>
          <m:num>
            <m:r>
              <w:rPr>
                <w:rFonts w:ascii="Cambria Math" w:hAnsi="Cambria Math"/>
                <w:sz w:val="22"/>
                <w:szCs w:val="22"/>
              </w:rPr>
              <m:t>L</m:t>
            </m:r>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 xml:space="preserve">-k(t- </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0</m:t>
                    </m:r>
                  </m:sub>
                </m:sSub>
                <m:r>
                  <w:rPr>
                    <w:rFonts w:ascii="Cambria Math" w:hAnsi="Cambria Math"/>
                    <w:sz w:val="22"/>
                    <w:szCs w:val="22"/>
                  </w:rPr>
                  <m:t>)</m:t>
                </m:r>
              </m:sup>
            </m:sSup>
          </m:den>
        </m:f>
      </m:oMath>
      <w:r w:rsidRPr="000412A1">
        <w:rPr>
          <w:sz w:val="22"/>
          <w:szCs w:val="22"/>
        </w:rPr>
        <w:tab/>
      </w:r>
      <w:r w:rsidRPr="000412A1">
        <w:rPr>
          <w:sz w:val="22"/>
          <w:szCs w:val="22"/>
        </w:rPr>
        <w:tab/>
      </w:r>
      <w:r w:rsidRPr="000412A1">
        <w:rPr>
          <w:sz w:val="22"/>
          <w:szCs w:val="22"/>
        </w:rPr>
        <w:tab/>
      </w:r>
      <w:r w:rsidRPr="000412A1">
        <w:rPr>
          <w:sz w:val="22"/>
          <w:szCs w:val="22"/>
        </w:rPr>
        <w:tab/>
      </w:r>
      <w:r w:rsidRPr="000412A1">
        <w:rPr>
          <w:sz w:val="22"/>
          <w:szCs w:val="22"/>
        </w:rPr>
        <w:tab/>
      </w:r>
      <w:r w:rsidRPr="000412A1">
        <w:rPr>
          <w:sz w:val="22"/>
          <w:szCs w:val="22"/>
        </w:rPr>
        <w:tab/>
        <w:t>(6)</w:t>
      </w:r>
    </w:p>
    <w:p w14:paraId="07E226D5" w14:textId="13572412" w:rsidR="005C4A5E" w:rsidRPr="000412A1" w:rsidRDefault="00EC0B4F" w:rsidP="005C4A5E">
      <w:pPr>
        <w:spacing w:before="240" w:after="220" w:line="480" w:lineRule="auto"/>
        <w:rPr>
          <w:sz w:val="22"/>
          <w:szCs w:val="22"/>
        </w:rPr>
      </w:pPr>
      <w:r>
        <w:rPr>
          <w:sz w:val="22"/>
          <w:szCs w:val="22"/>
        </w:rPr>
        <w:t>H</w:t>
      </w:r>
      <w:r w:rsidR="00697EE5">
        <w:rPr>
          <w:sz w:val="22"/>
          <w:szCs w:val="22"/>
        </w:rPr>
        <w:t>ere</w:t>
      </w:r>
      <w:r>
        <w:rPr>
          <w:sz w:val="22"/>
          <w:szCs w:val="22"/>
        </w:rPr>
        <w:t>,</w:t>
      </w:r>
      <w:r w:rsidR="00697EE5">
        <w:rPr>
          <w:sz w:val="22"/>
          <w:szCs w:val="22"/>
        </w:rPr>
        <w:t xml:space="preserve"> w</w:t>
      </w:r>
      <w:r w:rsidR="00697EE5" w:rsidRPr="000412A1">
        <w:rPr>
          <w:sz w:val="22"/>
          <w:szCs w:val="22"/>
        </w:rPr>
        <w:t xml:space="preserve">ater </w:t>
      </w:r>
      <w:r w:rsidR="005C4A5E" w:rsidRPr="000412A1">
        <w:rPr>
          <w:sz w:val="22"/>
          <w:szCs w:val="22"/>
        </w:rPr>
        <w:t xml:space="preserve">release (expressed </w:t>
      </w:r>
      <w:r w:rsidR="006307E9" w:rsidRPr="000412A1">
        <w:rPr>
          <w:sz w:val="22"/>
          <w:szCs w:val="22"/>
        </w:rPr>
        <w:t xml:space="preserve">as </w:t>
      </w:r>
      <w:r w:rsidR="005C4A5E" w:rsidRPr="000412A1">
        <w:rPr>
          <w:sz w:val="22"/>
          <w:szCs w:val="22"/>
        </w:rPr>
        <w:t>percentage) represents the amount of</w:t>
      </w:r>
      <w:r w:rsidR="00697EE5" w:rsidRPr="00697EE5">
        <w:rPr>
          <w:sz w:val="22"/>
          <w:szCs w:val="22"/>
        </w:rPr>
        <w:t xml:space="preserve"> </w:t>
      </w:r>
      <w:r w:rsidR="00697EE5" w:rsidRPr="000412A1">
        <w:rPr>
          <w:sz w:val="22"/>
          <w:szCs w:val="22"/>
        </w:rPr>
        <w:t>removed</w:t>
      </w:r>
      <w:r w:rsidR="005C4A5E" w:rsidRPr="000412A1">
        <w:rPr>
          <w:sz w:val="22"/>
          <w:szCs w:val="22"/>
        </w:rPr>
        <w:t xml:space="preserve"> water during the drying test</w:t>
      </w:r>
      <w:r w:rsidR="00697EE5">
        <w:rPr>
          <w:sz w:val="22"/>
          <w:szCs w:val="22"/>
        </w:rPr>
        <w:t>;</w:t>
      </w:r>
      <w:r w:rsidR="005C4A5E" w:rsidRPr="000412A1">
        <w:rPr>
          <w:sz w:val="22"/>
          <w:szCs w:val="22"/>
        </w:rPr>
        <w:t xml:space="preserve"> </w:t>
      </w:r>
      <w:r w:rsidR="005C4A5E" w:rsidRPr="000412A1">
        <w:rPr>
          <w:i/>
          <w:sz w:val="22"/>
          <w:szCs w:val="22"/>
        </w:rPr>
        <w:t>L</w:t>
      </w:r>
      <w:r w:rsidR="005C4A5E" w:rsidRPr="000412A1">
        <w:rPr>
          <w:sz w:val="22"/>
          <w:szCs w:val="22"/>
        </w:rPr>
        <w:t xml:space="preserve"> is the final value reached, with this value being normalised to 100%</w:t>
      </w:r>
      <w:r w:rsidR="00697EE5">
        <w:rPr>
          <w:sz w:val="22"/>
          <w:szCs w:val="22"/>
        </w:rPr>
        <w:t>;</w:t>
      </w:r>
      <w:r w:rsidR="005C4A5E" w:rsidRPr="000412A1">
        <w:rPr>
          <w:sz w:val="22"/>
          <w:szCs w:val="22"/>
        </w:rPr>
        <w:t xml:space="preserve"> </w:t>
      </w:r>
      <w:r w:rsidR="005C4A5E" w:rsidRPr="000412A1">
        <w:rPr>
          <w:i/>
          <w:sz w:val="22"/>
          <w:szCs w:val="22"/>
        </w:rPr>
        <w:t>t</w:t>
      </w:r>
      <w:r w:rsidR="005C4A5E" w:rsidRPr="000412A1">
        <w:rPr>
          <w:i/>
          <w:sz w:val="22"/>
          <w:szCs w:val="22"/>
          <w:vertAlign w:val="subscript"/>
        </w:rPr>
        <w:t>0</w:t>
      </w:r>
      <w:r w:rsidR="005C4A5E" w:rsidRPr="000412A1">
        <w:rPr>
          <w:sz w:val="22"/>
          <w:szCs w:val="22"/>
        </w:rPr>
        <w:t xml:space="preserve"> represents the time </w:t>
      </w:r>
      <w:r w:rsidR="00697EE5">
        <w:rPr>
          <w:sz w:val="22"/>
          <w:szCs w:val="22"/>
        </w:rPr>
        <w:t>in</w:t>
      </w:r>
      <w:r w:rsidR="00697EE5" w:rsidRPr="000412A1">
        <w:rPr>
          <w:sz w:val="22"/>
          <w:szCs w:val="22"/>
        </w:rPr>
        <w:t xml:space="preserve"> </w:t>
      </w:r>
      <w:r w:rsidR="005C4A5E" w:rsidRPr="000412A1">
        <w:rPr>
          <w:sz w:val="22"/>
          <w:szCs w:val="22"/>
        </w:rPr>
        <w:t xml:space="preserve">which 50% of water release </w:t>
      </w:r>
      <w:r w:rsidR="00697EE5">
        <w:rPr>
          <w:sz w:val="22"/>
          <w:szCs w:val="22"/>
        </w:rPr>
        <w:t>was</w:t>
      </w:r>
      <w:r w:rsidR="00697EE5" w:rsidRPr="000412A1">
        <w:rPr>
          <w:sz w:val="22"/>
          <w:szCs w:val="22"/>
        </w:rPr>
        <w:t xml:space="preserve"> </w:t>
      </w:r>
      <w:r w:rsidR="00B7401C" w:rsidRPr="000412A1">
        <w:rPr>
          <w:sz w:val="22"/>
          <w:szCs w:val="22"/>
        </w:rPr>
        <w:t>completed</w:t>
      </w:r>
      <w:r w:rsidR="00697EE5">
        <w:rPr>
          <w:sz w:val="22"/>
          <w:szCs w:val="22"/>
        </w:rPr>
        <w:t>;</w:t>
      </w:r>
      <w:r w:rsidR="00B7401C" w:rsidRPr="000412A1">
        <w:rPr>
          <w:sz w:val="22"/>
          <w:szCs w:val="22"/>
        </w:rPr>
        <w:t xml:space="preserve"> </w:t>
      </w:r>
      <w:r w:rsidR="005C4A5E" w:rsidRPr="000412A1">
        <w:rPr>
          <w:sz w:val="22"/>
          <w:szCs w:val="22"/>
        </w:rPr>
        <w:t xml:space="preserve">and </w:t>
      </w:r>
      <w:r w:rsidR="005C4A5E" w:rsidRPr="000412A1">
        <w:rPr>
          <w:i/>
          <w:sz w:val="22"/>
          <w:szCs w:val="22"/>
        </w:rPr>
        <w:t>k</w:t>
      </w:r>
      <w:r w:rsidR="005C4A5E" w:rsidRPr="000412A1">
        <w:rPr>
          <w:sz w:val="22"/>
          <w:szCs w:val="22"/>
        </w:rPr>
        <w:t xml:space="preserve"> is the logistic growth rate, which indicates the steepness of the curve.</w:t>
      </w:r>
    </w:p>
    <w:p w14:paraId="0D5A2E56" w14:textId="600D333C" w:rsidR="00415029" w:rsidRPr="000412A1" w:rsidRDefault="000A1855" w:rsidP="004A0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2"/>
          <w:szCs w:val="22"/>
        </w:rPr>
      </w:pPr>
      <w:r w:rsidRPr="000412A1">
        <w:rPr>
          <w:rFonts w:eastAsia="Calibri"/>
          <w:sz w:val="22"/>
          <w:szCs w:val="22"/>
        </w:rPr>
        <w:t xml:space="preserve">Digested </w:t>
      </w:r>
      <w:r w:rsidR="00CD4BA0" w:rsidRPr="000412A1">
        <w:rPr>
          <w:rFonts w:eastAsia="Calibri"/>
          <w:sz w:val="22"/>
          <w:szCs w:val="22"/>
        </w:rPr>
        <w:t xml:space="preserve">samples were evaluated by </w:t>
      </w:r>
      <w:r w:rsidRPr="000412A1">
        <w:rPr>
          <w:rFonts w:eastAsia="Calibri"/>
          <w:sz w:val="22"/>
          <w:szCs w:val="22"/>
        </w:rPr>
        <w:t xml:space="preserve">spectroscopy techniques </w:t>
      </w:r>
      <w:r w:rsidR="00CD4BA0" w:rsidRPr="000412A1">
        <w:rPr>
          <w:rFonts w:eastAsia="Calibri"/>
          <w:sz w:val="22"/>
          <w:szCs w:val="22"/>
        </w:rPr>
        <w:t xml:space="preserve">using </w:t>
      </w:r>
      <w:r w:rsidRPr="000412A1">
        <w:rPr>
          <w:rFonts w:eastAsia="Calibri"/>
          <w:sz w:val="22"/>
          <w:szCs w:val="22"/>
        </w:rPr>
        <w:t>Fourier-transform</w:t>
      </w:r>
      <w:r w:rsidR="00373D0F" w:rsidRPr="000412A1">
        <w:rPr>
          <w:rFonts w:eastAsia="Calibri"/>
          <w:sz w:val="22"/>
          <w:szCs w:val="22"/>
        </w:rPr>
        <w:t>ed</w:t>
      </w:r>
      <w:r w:rsidRPr="000412A1">
        <w:rPr>
          <w:rFonts w:eastAsia="Calibri"/>
          <w:sz w:val="22"/>
          <w:szCs w:val="22"/>
        </w:rPr>
        <w:t xml:space="preserve"> infrared spectroscopy (FTIR)</w:t>
      </w:r>
      <w:r w:rsidR="00CD4BA0" w:rsidRPr="000412A1">
        <w:rPr>
          <w:rFonts w:eastAsia="Calibri"/>
          <w:sz w:val="22"/>
          <w:szCs w:val="22"/>
        </w:rPr>
        <w:t xml:space="preserve">. This technique </w:t>
      </w:r>
      <w:r w:rsidRPr="000412A1">
        <w:rPr>
          <w:rFonts w:eastAsia="Calibri"/>
          <w:sz w:val="22"/>
          <w:szCs w:val="22"/>
        </w:rPr>
        <w:t xml:space="preserve">was applied to evaluate the </w:t>
      </w:r>
      <w:r w:rsidR="00CD4BA0" w:rsidRPr="000412A1">
        <w:rPr>
          <w:rFonts w:eastAsia="Calibri"/>
          <w:sz w:val="22"/>
          <w:szCs w:val="22"/>
        </w:rPr>
        <w:t xml:space="preserve">transformation </w:t>
      </w:r>
      <w:r w:rsidR="00282509" w:rsidRPr="000412A1">
        <w:rPr>
          <w:rFonts w:eastAsia="Calibri"/>
          <w:sz w:val="22"/>
          <w:szCs w:val="22"/>
        </w:rPr>
        <w:t>that occurred to</w:t>
      </w:r>
      <w:r w:rsidR="00CD4BA0" w:rsidRPr="000412A1">
        <w:rPr>
          <w:rFonts w:eastAsia="Calibri"/>
          <w:sz w:val="22"/>
          <w:szCs w:val="22"/>
        </w:rPr>
        <w:t xml:space="preserve"> the organic material after the </w:t>
      </w:r>
      <w:r w:rsidRPr="000412A1">
        <w:rPr>
          <w:rFonts w:eastAsia="Calibri"/>
          <w:sz w:val="22"/>
          <w:szCs w:val="22"/>
        </w:rPr>
        <w:t>digestion of substrates.</w:t>
      </w:r>
      <w:r w:rsidR="001201C0" w:rsidRPr="000412A1">
        <w:rPr>
          <w:rFonts w:eastAsia="Calibri"/>
          <w:sz w:val="22"/>
          <w:szCs w:val="22"/>
        </w:rPr>
        <w:t xml:space="preserve"> </w:t>
      </w:r>
      <w:r w:rsidR="00765C4A" w:rsidRPr="000412A1">
        <w:rPr>
          <w:sz w:val="22"/>
          <w:szCs w:val="22"/>
        </w:rPr>
        <w:t xml:space="preserve">FTIR </w:t>
      </w:r>
      <w:r w:rsidR="001A2C71" w:rsidRPr="000412A1">
        <w:rPr>
          <w:sz w:val="22"/>
          <w:szCs w:val="22"/>
        </w:rPr>
        <w:t>spectra were obtained in the 4000</w:t>
      </w:r>
      <w:r w:rsidR="00C02204" w:rsidRPr="000412A1">
        <w:rPr>
          <w:sz w:val="22"/>
          <w:szCs w:val="22"/>
        </w:rPr>
        <w:t>–</w:t>
      </w:r>
      <w:r w:rsidR="001A2C71" w:rsidRPr="000412A1">
        <w:rPr>
          <w:sz w:val="22"/>
          <w:szCs w:val="22"/>
        </w:rPr>
        <w:t>500 cm</w:t>
      </w:r>
      <w:r w:rsidR="00C02204" w:rsidRPr="000412A1">
        <w:rPr>
          <w:sz w:val="22"/>
          <w:szCs w:val="22"/>
          <w:vertAlign w:val="superscript"/>
        </w:rPr>
        <w:t>–</w:t>
      </w:r>
      <w:r w:rsidR="001A2C71" w:rsidRPr="000412A1">
        <w:rPr>
          <w:sz w:val="22"/>
          <w:szCs w:val="22"/>
          <w:vertAlign w:val="superscript"/>
        </w:rPr>
        <w:t>1</w:t>
      </w:r>
      <w:r w:rsidR="00765C4A" w:rsidRPr="000412A1">
        <w:rPr>
          <w:sz w:val="22"/>
          <w:szCs w:val="22"/>
        </w:rPr>
        <w:t xml:space="preserve"> </w:t>
      </w:r>
      <w:r w:rsidR="000F3E8F" w:rsidRPr="000412A1">
        <w:rPr>
          <w:sz w:val="22"/>
          <w:szCs w:val="22"/>
        </w:rPr>
        <w:t>wavelength</w:t>
      </w:r>
      <w:r w:rsidR="001A2C71" w:rsidRPr="000412A1">
        <w:rPr>
          <w:sz w:val="22"/>
          <w:szCs w:val="22"/>
        </w:rPr>
        <w:t xml:space="preserve"> range by</w:t>
      </w:r>
      <w:r w:rsidR="00765C4A" w:rsidRPr="000412A1">
        <w:rPr>
          <w:sz w:val="22"/>
          <w:szCs w:val="22"/>
        </w:rPr>
        <w:t xml:space="preserve"> </w:t>
      </w:r>
      <w:r w:rsidR="00D60B49" w:rsidRPr="000412A1">
        <w:rPr>
          <w:sz w:val="22"/>
          <w:szCs w:val="22"/>
        </w:rPr>
        <w:t xml:space="preserve">spectrometer (FT/IR-4000, </w:t>
      </w:r>
      <w:r w:rsidR="00765C4A" w:rsidRPr="000412A1">
        <w:rPr>
          <w:sz w:val="22"/>
          <w:szCs w:val="22"/>
        </w:rPr>
        <w:t>JASCO</w:t>
      </w:r>
      <w:r w:rsidR="00D60B49" w:rsidRPr="000412A1">
        <w:rPr>
          <w:sz w:val="22"/>
          <w:szCs w:val="22"/>
        </w:rPr>
        <w:t>)</w:t>
      </w:r>
      <w:r w:rsidR="00697EE5">
        <w:rPr>
          <w:sz w:val="22"/>
          <w:szCs w:val="22"/>
        </w:rPr>
        <w:t xml:space="preserve"> that </w:t>
      </w:r>
      <w:r w:rsidR="00CD4BA0" w:rsidRPr="000412A1">
        <w:rPr>
          <w:sz w:val="22"/>
          <w:szCs w:val="22"/>
        </w:rPr>
        <w:t xml:space="preserve">was </w:t>
      </w:r>
      <w:r w:rsidR="00765C4A" w:rsidRPr="000412A1">
        <w:rPr>
          <w:sz w:val="22"/>
          <w:szCs w:val="22"/>
        </w:rPr>
        <w:t xml:space="preserve">equipped with a </w:t>
      </w:r>
      <w:commentRangeStart w:id="5"/>
      <w:r w:rsidR="0053731D" w:rsidRPr="000412A1">
        <w:rPr>
          <w:sz w:val="22"/>
          <w:szCs w:val="22"/>
        </w:rPr>
        <w:t xml:space="preserve">DLATGS </w:t>
      </w:r>
      <w:commentRangeEnd w:id="5"/>
      <w:r w:rsidR="00697EE5">
        <w:rPr>
          <w:rStyle w:val="Refdecomentario"/>
        </w:rPr>
        <w:commentReference w:id="5"/>
      </w:r>
      <w:r w:rsidR="00765C4A" w:rsidRPr="000412A1">
        <w:rPr>
          <w:sz w:val="22"/>
          <w:szCs w:val="22"/>
        </w:rPr>
        <w:t xml:space="preserve">detector </w:t>
      </w:r>
      <w:r w:rsidR="00CD4BA0" w:rsidRPr="000412A1">
        <w:rPr>
          <w:sz w:val="22"/>
          <w:szCs w:val="22"/>
        </w:rPr>
        <w:t xml:space="preserve">stabilised </w:t>
      </w:r>
      <w:r w:rsidR="00765C4A" w:rsidRPr="000412A1">
        <w:rPr>
          <w:sz w:val="22"/>
          <w:szCs w:val="22"/>
        </w:rPr>
        <w:t>by a Peltier system</w:t>
      </w:r>
      <w:r w:rsidR="00F72959" w:rsidRPr="000412A1">
        <w:rPr>
          <w:sz w:val="22"/>
          <w:szCs w:val="22"/>
        </w:rPr>
        <w:t>.</w:t>
      </w:r>
      <w:r w:rsidR="00895C27" w:rsidRPr="000412A1">
        <w:rPr>
          <w:sz w:val="22"/>
          <w:szCs w:val="22"/>
        </w:rPr>
        <w:t xml:space="preserve"> </w:t>
      </w:r>
      <w:r w:rsidR="00F72959" w:rsidRPr="000412A1">
        <w:rPr>
          <w:sz w:val="22"/>
          <w:szCs w:val="22"/>
        </w:rPr>
        <w:t xml:space="preserve">The spectrometer lens was loaded with </w:t>
      </w:r>
      <w:r w:rsidR="001A2C71" w:rsidRPr="000412A1">
        <w:rPr>
          <w:sz w:val="22"/>
          <w:szCs w:val="22"/>
        </w:rPr>
        <w:t xml:space="preserve">2 mg </w:t>
      </w:r>
      <w:r w:rsidR="00F72959" w:rsidRPr="000412A1">
        <w:rPr>
          <w:sz w:val="22"/>
          <w:szCs w:val="22"/>
        </w:rPr>
        <w:t xml:space="preserve">powder from </w:t>
      </w:r>
      <w:r w:rsidR="001A2C71" w:rsidRPr="000412A1">
        <w:rPr>
          <w:sz w:val="22"/>
          <w:szCs w:val="22"/>
        </w:rPr>
        <w:t>each sample</w:t>
      </w:r>
      <w:r w:rsidR="00F72959" w:rsidRPr="000412A1">
        <w:rPr>
          <w:sz w:val="22"/>
          <w:szCs w:val="22"/>
        </w:rPr>
        <w:t xml:space="preserve"> and im</w:t>
      </w:r>
      <w:r w:rsidR="00864FC9" w:rsidRPr="000412A1">
        <w:rPr>
          <w:sz w:val="22"/>
          <w:szCs w:val="22"/>
        </w:rPr>
        <w:t>m</w:t>
      </w:r>
      <w:r w:rsidR="00F72959" w:rsidRPr="000412A1">
        <w:rPr>
          <w:sz w:val="22"/>
          <w:szCs w:val="22"/>
        </w:rPr>
        <w:t xml:space="preserve">obilised </w:t>
      </w:r>
      <w:r w:rsidR="00BB2FAC" w:rsidRPr="000412A1">
        <w:rPr>
          <w:sz w:val="22"/>
          <w:szCs w:val="22"/>
        </w:rPr>
        <w:t>by</w:t>
      </w:r>
      <w:r w:rsidR="001A2C71" w:rsidRPr="000412A1">
        <w:rPr>
          <w:sz w:val="22"/>
          <w:szCs w:val="22"/>
        </w:rPr>
        <w:t xml:space="preserve"> </w:t>
      </w:r>
      <w:r w:rsidR="002A48DE" w:rsidRPr="000412A1">
        <w:rPr>
          <w:sz w:val="22"/>
          <w:szCs w:val="22"/>
        </w:rPr>
        <w:t xml:space="preserve">the diamond </w:t>
      </w:r>
      <w:r w:rsidR="000F3E8F" w:rsidRPr="000412A1">
        <w:rPr>
          <w:sz w:val="22"/>
          <w:szCs w:val="22"/>
        </w:rPr>
        <w:t>crystal</w:t>
      </w:r>
      <w:r w:rsidR="002A48DE" w:rsidRPr="000412A1">
        <w:rPr>
          <w:sz w:val="22"/>
          <w:szCs w:val="22"/>
        </w:rPr>
        <w:t>. R</w:t>
      </w:r>
      <w:r w:rsidR="00895C27" w:rsidRPr="000412A1">
        <w:rPr>
          <w:sz w:val="22"/>
          <w:szCs w:val="22"/>
        </w:rPr>
        <w:t xml:space="preserve">esults were </w:t>
      </w:r>
      <w:r w:rsidR="00CD4BA0" w:rsidRPr="000412A1">
        <w:rPr>
          <w:sz w:val="22"/>
          <w:szCs w:val="22"/>
        </w:rPr>
        <w:t xml:space="preserve">analysed using </w:t>
      </w:r>
      <w:r w:rsidR="00D60B49" w:rsidRPr="000412A1">
        <w:rPr>
          <w:sz w:val="22"/>
          <w:szCs w:val="22"/>
        </w:rPr>
        <w:t>the same data</w:t>
      </w:r>
      <w:r w:rsidR="00714990">
        <w:rPr>
          <w:sz w:val="22"/>
          <w:szCs w:val="22"/>
        </w:rPr>
        <w:t xml:space="preserve"> </w:t>
      </w:r>
      <w:r w:rsidR="009E46B9" w:rsidRPr="000412A1">
        <w:rPr>
          <w:sz w:val="22"/>
          <w:szCs w:val="22"/>
        </w:rPr>
        <w:t>evaluation software as</w:t>
      </w:r>
      <w:r w:rsidR="009B760B">
        <w:rPr>
          <w:sz w:val="22"/>
          <w:szCs w:val="22"/>
        </w:rPr>
        <w:t xml:space="preserve"> that</w:t>
      </w:r>
      <w:r w:rsidR="009E46B9" w:rsidRPr="000412A1">
        <w:rPr>
          <w:sz w:val="22"/>
          <w:szCs w:val="22"/>
        </w:rPr>
        <w:t xml:space="preserve"> previously mentioned</w:t>
      </w:r>
      <w:r w:rsidR="00D60B49" w:rsidRPr="000412A1">
        <w:rPr>
          <w:sz w:val="22"/>
          <w:szCs w:val="22"/>
        </w:rPr>
        <w:t xml:space="preserve"> (</w:t>
      </w:r>
      <w:proofErr w:type="spellStart"/>
      <w:r w:rsidR="00D60B49" w:rsidRPr="000412A1">
        <w:rPr>
          <w:sz w:val="22"/>
          <w:szCs w:val="22"/>
        </w:rPr>
        <w:t>OriginPro</w:t>
      </w:r>
      <w:proofErr w:type="spellEnd"/>
      <w:r w:rsidR="00D60B49" w:rsidRPr="000412A1">
        <w:rPr>
          <w:sz w:val="22"/>
          <w:szCs w:val="22"/>
        </w:rPr>
        <w:t xml:space="preserve"> 2015)</w:t>
      </w:r>
      <w:r w:rsidR="002A48DE" w:rsidRPr="000412A1">
        <w:rPr>
          <w:sz w:val="22"/>
          <w:szCs w:val="22"/>
        </w:rPr>
        <w:t>.</w:t>
      </w:r>
    </w:p>
    <w:p w14:paraId="394D0B3E" w14:textId="757380C3" w:rsidR="00CD4BA0" w:rsidRPr="000412A1" w:rsidRDefault="00CD4BA0" w:rsidP="004A0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sz w:val="22"/>
          <w:szCs w:val="22"/>
        </w:rPr>
      </w:pPr>
      <w:r w:rsidRPr="000412A1">
        <w:rPr>
          <w:b/>
          <w:sz w:val="22"/>
          <w:szCs w:val="22"/>
        </w:rPr>
        <w:t xml:space="preserve">3. Results and </w:t>
      </w:r>
      <w:r w:rsidR="00C02204" w:rsidRPr="000412A1">
        <w:rPr>
          <w:b/>
          <w:sz w:val="22"/>
          <w:szCs w:val="22"/>
        </w:rPr>
        <w:t>D</w:t>
      </w:r>
      <w:r w:rsidRPr="000412A1">
        <w:rPr>
          <w:b/>
          <w:sz w:val="22"/>
          <w:szCs w:val="22"/>
        </w:rPr>
        <w:t>iscussion</w:t>
      </w:r>
    </w:p>
    <w:p w14:paraId="7014777A" w14:textId="72BED7DE" w:rsidR="00CD4BA0" w:rsidRPr="009A0A82" w:rsidRDefault="00CD4BA0" w:rsidP="004A0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Cs/>
          <w:i/>
          <w:iCs/>
          <w:sz w:val="22"/>
          <w:szCs w:val="22"/>
        </w:rPr>
      </w:pPr>
      <w:r w:rsidRPr="009A0A82">
        <w:rPr>
          <w:bCs/>
          <w:i/>
          <w:iCs/>
          <w:sz w:val="22"/>
          <w:szCs w:val="22"/>
        </w:rPr>
        <w:t xml:space="preserve">3.1. Results of </w:t>
      </w:r>
      <w:r w:rsidR="00C02204" w:rsidRPr="009A0A82">
        <w:rPr>
          <w:bCs/>
          <w:i/>
          <w:iCs/>
          <w:sz w:val="22"/>
          <w:szCs w:val="22"/>
        </w:rPr>
        <w:t>S</w:t>
      </w:r>
      <w:r w:rsidRPr="009A0A82">
        <w:rPr>
          <w:bCs/>
          <w:i/>
          <w:iCs/>
          <w:sz w:val="22"/>
          <w:szCs w:val="22"/>
        </w:rPr>
        <w:t>ludge</w:t>
      </w:r>
      <w:r w:rsidR="00714990">
        <w:rPr>
          <w:bCs/>
          <w:i/>
          <w:iCs/>
          <w:sz w:val="22"/>
          <w:szCs w:val="22"/>
        </w:rPr>
        <w:t xml:space="preserve"> </w:t>
      </w:r>
      <w:r w:rsidR="00C02204" w:rsidRPr="000412A1">
        <w:rPr>
          <w:bCs/>
          <w:i/>
          <w:iCs/>
          <w:sz w:val="22"/>
          <w:szCs w:val="22"/>
        </w:rPr>
        <w:t>E</w:t>
      </w:r>
      <w:r w:rsidRPr="009A0A82">
        <w:rPr>
          <w:bCs/>
          <w:i/>
          <w:iCs/>
          <w:sz w:val="22"/>
          <w:szCs w:val="22"/>
        </w:rPr>
        <w:t>lectro</w:t>
      </w:r>
      <w:r w:rsidR="00C02204" w:rsidRPr="009A0A82">
        <w:rPr>
          <w:bCs/>
          <w:i/>
          <w:iCs/>
          <w:sz w:val="22"/>
          <w:szCs w:val="22"/>
        </w:rPr>
        <w:t>-O</w:t>
      </w:r>
      <w:r w:rsidRPr="009A0A82">
        <w:rPr>
          <w:bCs/>
          <w:i/>
          <w:iCs/>
          <w:sz w:val="22"/>
          <w:szCs w:val="22"/>
        </w:rPr>
        <w:t>xidation</w:t>
      </w:r>
      <w:r w:rsidR="00C02204" w:rsidRPr="009A0A82">
        <w:rPr>
          <w:bCs/>
          <w:i/>
          <w:iCs/>
          <w:sz w:val="22"/>
          <w:szCs w:val="22"/>
        </w:rPr>
        <w:t xml:space="preserve"> Retreatment</w:t>
      </w:r>
    </w:p>
    <w:p w14:paraId="4F4A14CE" w14:textId="77777777" w:rsidR="00CD4BA0" w:rsidRPr="000412A1" w:rsidRDefault="00CD4BA0" w:rsidP="004A0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2"/>
          <w:szCs w:val="22"/>
        </w:rPr>
      </w:pPr>
    </w:p>
    <w:p w14:paraId="15571848" w14:textId="2932B9B5" w:rsidR="00904228" w:rsidRPr="000412A1" w:rsidRDefault="00582281" w:rsidP="00ED2497">
      <w:pPr>
        <w:tabs>
          <w:tab w:val="left" w:pos="425"/>
        </w:tabs>
        <w:spacing w:line="480" w:lineRule="auto"/>
        <w:rPr>
          <w:sz w:val="22"/>
          <w:szCs w:val="22"/>
        </w:rPr>
      </w:pPr>
      <w:r w:rsidRPr="000412A1">
        <w:rPr>
          <w:sz w:val="22"/>
          <w:szCs w:val="22"/>
        </w:rPr>
        <w:lastRenderedPageBreak/>
        <w:t>Figure 1 s</w:t>
      </w:r>
      <w:r w:rsidR="00117288" w:rsidRPr="000412A1">
        <w:rPr>
          <w:sz w:val="22"/>
          <w:szCs w:val="22"/>
        </w:rPr>
        <w:t>hows the</w:t>
      </w:r>
      <w:r w:rsidR="00697EE5" w:rsidRPr="00697EE5">
        <w:rPr>
          <w:sz w:val="22"/>
          <w:szCs w:val="22"/>
        </w:rPr>
        <w:t xml:space="preserve"> </w:t>
      </w:r>
      <w:r w:rsidR="00697EE5" w:rsidRPr="000412A1">
        <w:rPr>
          <w:sz w:val="22"/>
          <w:szCs w:val="22"/>
        </w:rPr>
        <w:t>solubilisation</w:t>
      </w:r>
      <w:r w:rsidR="00117288" w:rsidRPr="000412A1">
        <w:rPr>
          <w:sz w:val="22"/>
          <w:szCs w:val="22"/>
        </w:rPr>
        <w:t xml:space="preserve"> enhancement </w:t>
      </w:r>
      <w:r w:rsidR="00A12856" w:rsidRPr="000412A1">
        <w:rPr>
          <w:sz w:val="22"/>
          <w:szCs w:val="22"/>
        </w:rPr>
        <w:t xml:space="preserve">on </w:t>
      </w:r>
      <w:r w:rsidR="00117288" w:rsidRPr="000412A1">
        <w:rPr>
          <w:sz w:val="22"/>
          <w:szCs w:val="22"/>
        </w:rPr>
        <w:t xml:space="preserve">the organic matter compared </w:t>
      </w:r>
      <w:r w:rsidR="00357257" w:rsidRPr="000412A1">
        <w:rPr>
          <w:sz w:val="22"/>
          <w:szCs w:val="22"/>
        </w:rPr>
        <w:t>to</w:t>
      </w:r>
      <w:r w:rsidR="00697EE5">
        <w:rPr>
          <w:sz w:val="22"/>
          <w:szCs w:val="22"/>
        </w:rPr>
        <w:t xml:space="preserve"> that on</w:t>
      </w:r>
      <w:r w:rsidR="00357257" w:rsidRPr="000412A1">
        <w:rPr>
          <w:sz w:val="22"/>
          <w:szCs w:val="22"/>
        </w:rPr>
        <w:t xml:space="preserve"> </w:t>
      </w:r>
      <w:r w:rsidR="00117288" w:rsidRPr="000412A1">
        <w:rPr>
          <w:sz w:val="22"/>
          <w:szCs w:val="22"/>
        </w:rPr>
        <w:t>the control sample</w:t>
      </w:r>
      <w:r w:rsidR="00697EE5">
        <w:rPr>
          <w:sz w:val="22"/>
          <w:szCs w:val="22"/>
        </w:rPr>
        <w:t>,</w:t>
      </w:r>
      <w:r w:rsidR="00117288" w:rsidRPr="000412A1">
        <w:rPr>
          <w:sz w:val="22"/>
          <w:szCs w:val="22"/>
        </w:rPr>
        <w:t xml:space="preserve"> denoted</w:t>
      </w:r>
      <w:r w:rsidR="00357257" w:rsidRPr="000412A1">
        <w:rPr>
          <w:sz w:val="22"/>
          <w:szCs w:val="22"/>
        </w:rPr>
        <w:t xml:space="preserve"> </w:t>
      </w:r>
      <w:r w:rsidR="00117288" w:rsidRPr="000412A1">
        <w:rPr>
          <w:sz w:val="22"/>
          <w:szCs w:val="22"/>
        </w:rPr>
        <w:t xml:space="preserve">WAS. </w:t>
      </w:r>
      <w:r w:rsidR="003D3379" w:rsidRPr="000412A1">
        <w:rPr>
          <w:sz w:val="22"/>
          <w:szCs w:val="22"/>
        </w:rPr>
        <w:t xml:space="preserve">Initial values of </w:t>
      </w:r>
      <w:r w:rsidR="00BD5C18" w:rsidRPr="000412A1">
        <w:rPr>
          <w:sz w:val="22"/>
          <w:szCs w:val="22"/>
        </w:rPr>
        <w:t xml:space="preserve">soluble </w:t>
      </w:r>
      <w:r w:rsidR="00CD4BA0" w:rsidRPr="000412A1">
        <w:rPr>
          <w:sz w:val="22"/>
          <w:szCs w:val="22"/>
        </w:rPr>
        <w:t xml:space="preserve">COD obtained </w:t>
      </w:r>
      <w:r w:rsidR="0054067C" w:rsidRPr="000412A1">
        <w:rPr>
          <w:sz w:val="22"/>
          <w:szCs w:val="22"/>
        </w:rPr>
        <w:t xml:space="preserve">from </w:t>
      </w:r>
      <w:r w:rsidR="003D3379" w:rsidRPr="000412A1">
        <w:rPr>
          <w:sz w:val="22"/>
          <w:szCs w:val="22"/>
        </w:rPr>
        <w:t>the control sample were</w:t>
      </w:r>
      <w:r w:rsidR="00CD4BA0" w:rsidRPr="000412A1">
        <w:rPr>
          <w:sz w:val="22"/>
          <w:szCs w:val="22"/>
        </w:rPr>
        <w:t xml:space="preserve"> </w:t>
      </w:r>
      <w:r w:rsidR="00446C53" w:rsidRPr="000412A1">
        <w:rPr>
          <w:sz w:val="22"/>
          <w:szCs w:val="22"/>
        </w:rPr>
        <w:t xml:space="preserve">approximately </w:t>
      </w:r>
      <w:r w:rsidR="003D3379" w:rsidRPr="000412A1">
        <w:rPr>
          <w:sz w:val="22"/>
          <w:szCs w:val="22"/>
        </w:rPr>
        <w:t>1073</w:t>
      </w:r>
      <w:r w:rsidR="001E0387" w:rsidRPr="000412A1">
        <w:rPr>
          <w:sz w:val="22"/>
          <w:szCs w:val="22"/>
        </w:rPr>
        <w:t xml:space="preserve"> </w:t>
      </w:r>
      <w:r w:rsidR="00F41B62" w:rsidRPr="000412A1">
        <w:rPr>
          <w:sz w:val="22"/>
          <w:szCs w:val="22"/>
        </w:rPr>
        <w:t>±</w:t>
      </w:r>
      <w:r w:rsidR="001E0387" w:rsidRPr="000412A1">
        <w:rPr>
          <w:sz w:val="22"/>
          <w:szCs w:val="22"/>
        </w:rPr>
        <w:t xml:space="preserve"> </w:t>
      </w:r>
      <w:r w:rsidR="00117E70" w:rsidRPr="000412A1">
        <w:rPr>
          <w:sz w:val="22"/>
          <w:szCs w:val="22"/>
        </w:rPr>
        <w:t>53</w:t>
      </w:r>
      <w:r w:rsidR="003D3379" w:rsidRPr="000412A1">
        <w:rPr>
          <w:sz w:val="22"/>
          <w:szCs w:val="22"/>
        </w:rPr>
        <w:t xml:space="preserve"> mg L</w:t>
      </w:r>
      <w:r w:rsidR="00C02204" w:rsidRPr="000412A1">
        <w:rPr>
          <w:sz w:val="22"/>
          <w:szCs w:val="22"/>
          <w:vertAlign w:val="superscript"/>
        </w:rPr>
        <w:t>–</w:t>
      </w:r>
      <w:r w:rsidR="003D3379" w:rsidRPr="000412A1">
        <w:rPr>
          <w:sz w:val="22"/>
          <w:szCs w:val="22"/>
          <w:vertAlign w:val="superscript"/>
        </w:rPr>
        <w:t>1</w:t>
      </w:r>
      <w:r w:rsidR="00697EE5">
        <w:rPr>
          <w:sz w:val="22"/>
          <w:szCs w:val="22"/>
        </w:rPr>
        <w:t xml:space="preserve">, </w:t>
      </w:r>
      <w:r w:rsidR="00CD4BA0" w:rsidRPr="000412A1">
        <w:rPr>
          <w:sz w:val="22"/>
          <w:szCs w:val="22"/>
        </w:rPr>
        <w:t xml:space="preserve">which accounted for a </w:t>
      </w:r>
      <w:r w:rsidR="0054067C" w:rsidRPr="000412A1">
        <w:rPr>
          <w:sz w:val="22"/>
          <w:szCs w:val="22"/>
        </w:rPr>
        <w:t xml:space="preserve">TOC </w:t>
      </w:r>
      <w:r w:rsidR="00CD4BA0" w:rsidRPr="000412A1">
        <w:rPr>
          <w:sz w:val="22"/>
          <w:szCs w:val="22"/>
        </w:rPr>
        <w:t>value of</w:t>
      </w:r>
      <w:r w:rsidR="003D3379" w:rsidRPr="000412A1">
        <w:rPr>
          <w:sz w:val="22"/>
          <w:szCs w:val="22"/>
        </w:rPr>
        <w:t xml:space="preserve"> 385</w:t>
      </w:r>
      <w:r w:rsidR="001E0387" w:rsidRPr="000412A1">
        <w:rPr>
          <w:sz w:val="22"/>
          <w:szCs w:val="22"/>
        </w:rPr>
        <w:t xml:space="preserve"> </w:t>
      </w:r>
      <w:r w:rsidR="00F41B62" w:rsidRPr="000412A1">
        <w:rPr>
          <w:sz w:val="22"/>
          <w:szCs w:val="22"/>
        </w:rPr>
        <w:t>±</w:t>
      </w:r>
      <w:r w:rsidR="001E0387" w:rsidRPr="000412A1">
        <w:rPr>
          <w:sz w:val="22"/>
          <w:szCs w:val="22"/>
        </w:rPr>
        <w:t xml:space="preserve"> </w:t>
      </w:r>
      <w:r w:rsidR="00117E70" w:rsidRPr="000412A1">
        <w:rPr>
          <w:sz w:val="22"/>
          <w:szCs w:val="22"/>
        </w:rPr>
        <w:t>95</w:t>
      </w:r>
      <w:r w:rsidR="003D3379" w:rsidRPr="000412A1">
        <w:rPr>
          <w:sz w:val="22"/>
          <w:szCs w:val="22"/>
        </w:rPr>
        <w:t xml:space="preserve"> mg L</w:t>
      </w:r>
      <w:r w:rsidR="00C02204" w:rsidRPr="000412A1">
        <w:rPr>
          <w:sz w:val="22"/>
          <w:szCs w:val="22"/>
          <w:vertAlign w:val="superscript"/>
        </w:rPr>
        <w:t>–</w:t>
      </w:r>
      <w:r w:rsidR="003D3379" w:rsidRPr="000412A1">
        <w:rPr>
          <w:sz w:val="22"/>
          <w:szCs w:val="22"/>
          <w:vertAlign w:val="superscript"/>
        </w:rPr>
        <w:t>1</w:t>
      </w:r>
      <w:r w:rsidR="0054067C" w:rsidRPr="000412A1">
        <w:rPr>
          <w:sz w:val="22"/>
          <w:szCs w:val="22"/>
        </w:rPr>
        <w:t>.</w:t>
      </w:r>
      <w:r w:rsidR="00723214" w:rsidRPr="000412A1">
        <w:rPr>
          <w:sz w:val="22"/>
          <w:szCs w:val="22"/>
        </w:rPr>
        <w:t xml:space="preserve"> </w:t>
      </w:r>
      <w:r w:rsidR="003D3379" w:rsidRPr="000412A1">
        <w:rPr>
          <w:sz w:val="22"/>
          <w:szCs w:val="22"/>
        </w:rPr>
        <w:t xml:space="preserve">All </w:t>
      </w:r>
      <w:proofErr w:type="spellStart"/>
      <w:r w:rsidR="008C7B13" w:rsidRPr="000412A1">
        <w:rPr>
          <w:sz w:val="22"/>
          <w:szCs w:val="22"/>
        </w:rPr>
        <w:t>pre</w:t>
      </w:r>
      <w:r w:rsidR="00BD00C5" w:rsidRPr="000412A1">
        <w:rPr>
          <w:sz w:val="22"/>
          <w:szCs w:val="22"/>
        </w:rPr>
        <w:t>treatments</w:t>
      </w:r>
      <w:proofErr w:type="spellEnd"/>
      <w:r w:rsidR="003D3379" w:rsidRPr="000412A1">
        <w:rPr>
          <w:sz w:val="22"/>
          <w:szCs w:val="22"/>
        </w:rPr>
        <w:t xml:space="preserve"> showed an </w:t>
      </w:r>
      <w:r w:rsidR="008C7B13" w:rsidRPr="000412A1">
        <w:rPr>
          <w:sz w:val="22"/>
          <w:szCs w:val="22"/>
        </w:rPr>
        <w:t xml:space="preserve">increase in solubilisation parameters </w:t>
      </w:r>
      <w:r w:rsidR="003D3379" w:rsidRPr="000412A1">
        <w:rPr>
          <w:sz w:val="22"/>
          <w:szCs w:val="22"/>
        </w:rPr>
        <w:t xml:space="preserve">due to </w:t>
      </w:r>
      <w:r w:rsidR="008C7B13" w:rsidRPr="000412A1">
        <w:rPr>
          <w:sz w:val="22"/>
          <w:szCs w:val="22"/>
        </w:rPr>
        <w:t>the release of organic intracellular material</w:t>
      </w:r>
      <w:r w:rsidR="003D3379" w:rsidRPr="000412A1">
        <w:rPr>
          <w:sz w:val="22"/>
          <w:szCs w:val="22"/>
        </w:rPr>
        <w:t xml:space="preserve">. </w:t>
      </w:r>
      <w:r w:rsidR="00904228" w:rsidRPr="000412A1">
        <w:rPr>
          <w:sz w:val="22"/>
          <w:szCs w:val="22"/>
        </w:rPr>
        <w:t xml:space="preserve">The </w:t>
      </w:r>
      <w:r w:rsidR="008C7B13" w:rsidRPr="000412A1">
        <w:rPr>
          <w:sz w:val="22"/>
          <w:szCs w:val="22"/>
        </w:rPr>
        <w:t xml:space="preserve">highest </w:t>
      </w:r>
      <w:r w:rsidR="00904228" w:rsidRPr="000412A1">
        <w:rPr>
          <w:sz w:val="22"/>
          <w:szCs w:val="22"/>
        </w:rPr>
        <w:t>increase in TOC and COD values</w:t>
      </w:r>
      <w:r w:rsidR="00697EE5">
        <w:rPr>
          <w:sz w:val="22"/>
          <w:szCs w:val="22"/>
        </w:rPr>
        <w:t xml:space="preserve"> was</w:t>
      </w:r>
      <w:r w:rsidR="00904228" w:rsidRPr="000412A1">
        <w:rPr>
          <w:sz w:val="22"/>
          <w:szCs w:val="22"/>
        </w:rPr>
        <w:t xml:space="preserve"> </w:t>
      </w:r>
      <w:r w:rsidR="008C7B13" w:rsidRPr="000412A1">
        <w:rPr>
          <w:sz w:val="22"/>
          <w:szCs w:val="22"/>
        </w:rPr>
        <w:t>derived</w:t>
      </w:r>
      <w:r w:rsidR="00904228" w:rsidRPr="000412A1">
        <w:rPr>
          <w:sz w:val="22"/>
          <w:szCs w:val="22"/>
        </w:rPr>
        <w:t xml:space="preserve"> </w:t>
      </w:r>
      <w:r w:rsidR="00BD5C18" w:rsidRPr="000412A1">
        <w:rPr>
          <w:sz w:val="22"/>
          <w:szCs w:val="22"/>
        </w:rPr>
        <w:t xml:space="preserve">from the treatment </w:t>
      </w:r>
      <w:r w:rsidR="008C7B13" w:rsidRPr="000412A1">
        <w:rPr>
          <w:sz w:val="22"/>
          <w:szCs w:val="22"/>
        </w:rPr>
        <w:t xml:space="preserve">having </w:t>
      </w:r>
      <w:r w:rsidR="00904228" w:rsidRPr="000412A1">
        <w:rPr>
          <w:sz w:val="22"/>
          <w:szCs w:val="22"/>
        </w:rPr>
        <w:t>the maxim</w:t>
      </w:r>
      <w:r w:rsidR="00697EE5">
        <w:rPr>
          <w:sz w:val="22"/>
          <w:szCs w:val="22"/>
        </w:rPr>
        <w:t>al</w:t>
      </w:r>
      <w:r w:rsidR="00904228" w:rsidRPr="000412A1">
        <w:rPr>
          <w:sz w:val="22"/>
          <w:szCs w:val="22"/>
        </w:rPr>
        <w:t xml:space="preserve"> value of initial conductivity </w:t>
      </w:r>
      <w:r w:rsidR="000B7A8C" w:rsidRPr="000412A1">
        <w:rPr>
          <w:sz w:val="22"/>
          <w:szCs w:val="22"/>
        </w:rPr>
        <w:t>(</w:t>
      </w:r>
      <w:r w:rsidR="009B760B">
        <w:rPr>
          <w:sz w:val="22"/>
          <w:szCs w:val="22"/>
        </w:rPr>
        <w:t>T</w:t>
      </w:r>
      <w:r w:rsidR="00BD5C18" w:rsidRPr="000412A1">
        <w:rPr>
          <w:sz w:val="22"/>
          <w:szCs w:val="22"/>
        </w:rPr>
        <w:t xml:space="preserve">reatment </w:t>
      </w:r>
      <w:r w:rsidR="000B7A8C" w:rsidRPr="000412A1">
        <w:rPr>
          <w:sz w:val="22"/>
          <w:szCs w:val="22"/>
        </w:rPr>
        <w:t>T5</w:t>
      </w:r>
      <w:r w:rsidR="00BD5C18" w:rsidRPr="000412A1">
        <w:rPr>
          <w:sz w:val="22"/>
          <w:szCs w:val="22"/>
        </w:rPr>
        <w:t xml:space="preserve">). </w:t>
      </w:r>
      <w:r w:rsidR="009B760B">
        <w:rPr>
          <w:sz w:val="22"/>
          <w:szCs w:val="22"/>
        </w:rPr>
        <w:t>R</w:t>
      </w:r>
      <w:r w:rsidR="00F41B62" w:rsidRPr="000412A1">
        <w:rPr>
          <w:sz w:val="22"/>
          <w:szCs w:val="22"/>
        </w:rPr>
        <w:t>esults</w:t>
      </w:r>
      <w:r w:rsidR="00BD5C18" w:rsidRPr="000412A1">
        <w:rPr>
          <w:sz w:val="22"/>
          <w:szCs w:val="22"/>
        </w:rPr>
        <w:t xml:space="preserve"> </w:t>
      </w:r>
      <w:r w:rsidR="00F41B62" w:rsidRPr="000412A1">
        <w:rPr>
          <w:sz w:val="22"/>
          <w:szCs w:val="22"/>
        </w:rPr>
        <w:t>reflect</w:t>
      </w:r>
      <w:r w:rsidR="009B760B">
        <w:rPr>
          <w:sz w:val="22"/>
          <w:szCs w:val="22"/>
        </w:rPr>
        <w:t>ed</w:t>
      </w:r>
      <w:r w:rsidR="00BD5C18" w:rsidRPr="000412A1">
        <w:rPr>
          <w:sz w:val="22"/>
          <w:szCs w:val="22"/>
        </w:rPr>
        <w:t xml:space="preserve"> the effectiveness of </w:t>
      </w:r>
      <w:r w:rsidR="00904228" w:rsidRPr="000412A1">
        <w:rPr>
          <w:sz w:val="22"/>
          <w:szCs w:val="22"/>
        </w:rPr>
        <w:t>cell</w:t>
      </w:r>
      <w:r w:rsidR="00BD5C18" w:rsidRPr="000412A1">
        <w:rPr>
          <w:sz w:val="22"/>
          <w:szCs w:val="22"/>
        </w:rPr>
        <w:t xml:space="preserve"> lysis</w:t>
      </w:r>
      <w:r w:rsidR="008C7B13" w:rsidRPr="000412A1">
        <w:rPr>
          <w:sz w:val="22"/>
          <w:szCs w:val="22"/>
        </w:rPr>
        <w:t xml:space="preserve"> and the relevant effect of alkalinity </w:t>
      </w:r>
      <w:r w:rsidR="009261AF" w:rsidRPr="000412A1">
        <w:rPr>
          <w:sz w:val="22"/>
          <w:szCs w:val="22"/>
        </w:rPr>
        <w:t xml:space="preserve">on </w:t>
      </w:r>
      <w:r w:rsidR="008C7B13" w:rsidRPr="000412A1">
        <w:rPr>
          <w:sz w:val="22"/>
          <w:szCs w:val="22"/>
        </w:rPr>
        <w:t>cell</w:t>
      </w:r>
      <w:r w:rsidR="00F26285">
        <w:rPr>
          <w:sz w:val="22"/>
          <w:szCs w:val="22"/>
        </w:rPr>
        <w:t xml:space="preserve"> </w:t>
      </w:r>
      <w:r w:rsidR="009261AF" w:rsidRPr="000412A1">
        <w:rPr>
          <w:sz w:val="22"/>
          <w:szCs w:val="22"/>
        </w:rPr>
        <w:t>membrane disintegration</w:t>
      </w:r>
      <w:r w:rsidR="00FA20DF" w:rsidRPr="000412A1">
        <w:rPr>
          <w:sz w:val="22"/>
          <w:szCs w:val="22"/>
        </w:rPr>
        <w:t>.</w:t>
      </w:r>
    </w:p>
    <w:p w14:paraId="6FA6981C" w14:textId="095969D7" w:rsidR="00A65FC9" w:rsidRPr="000412A1" w:rsidRDefault="00A65FC9" w:rsidP="00ED2497">
      <w:pPr>
        <w:tabs>
          <w:tab w:val="left" w:pos="425"/>
        </w:tabs>
        <w:spacing w:line="480" w:lineRule="auto"/>
        <w:rPr>
          <w:sz w:val="22"/>
          <w:szCs w:val="22"/>
        </w:rPr>
      </w:pPr>
      <w:r w:rsidRPr="000412A1">
        <w:rPr>
          <w:noProof/>
          <w:sz w:val="22"/>
          <w:szCs w:val="22"/>
          <w:lang w:val="es-ES" w:eastAsia="es-ES"/>
        </w:rPr>
        <w:drawing>
          <wp:inline distT="0" distB="0" distL="0" distR="0" wp14:anchorId="463E056B" wp14:editId="563C4EA3">
            <wp:extent cx="2880000" cy="2203689"/>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203689"/>
                    </a:xfrm>
                    <a:prstGeom prst="rect">
                      <a:avLst/>
                    </a:prstGeom>
                  </pic:spPr>
                </pic:pic>
              </a:graphicData>
            </a:graphic>
          </wp:inline>
        </w:drawing>
      </w:r>
    </w:p>
    <w:p w14:paraId="6B928935" w14:textId="7A2EC40D" w:rsidR="00A65FC9" w:rsidRPr="000412A1" w:rsidRDefault="00A65FC9" w:rsidP="000B187C">
      <w:pPr>
        <w:pStyle w:val="Epgrafe"/>
        <w:spacing w:line="480" w:lineRule="auto"/>
        <w:rPr>
          <w:i w:val="0"/>
          <w:color w:val="auto"/>
          <w:sz w:val="22"/>
          <w:szCs w:val="22"/>
        </w:rPr>
      </w:pPr>
      <w:r w:rsidRPr="009A0A82">
        <w:rPr>
          <w:b/>
          <w:bCs/>
          <w:i w:val="0"/>
          <w:color w:val="auto"/>
          <w:sz w:val="22"/>
          <w:szCs w:val="22"/>
        </w:rPr>
        <w:t>Fig</w:t>
      </w:r>
      <w:r w:rsidR="00C02204" w:rsidRPr="009A0A82">
        <w:rPr>
          <w:b/>
          <w:bCs/>
          <w:i w:val="0"/>
          <w:color w:val="auto"/>
          <w:sz w:val="22"/>
          <w:szCs w:val="22"/>
        </w:rPr>
        <w:t>ure</w:t>
      </w:r>
      <w:r w:rsidR="00C02204" w:rsidRPr="000412A1">
        <w:rPr>
          <w:b/>
          <w:bCs/>
          <w:i w:val="0"/>
          <w:color w:val="auto"/>
          <w:sz w:val="22"/>
          <w:szCs w:val="22"/>
        </w:rPr>
        <w:t xml:space="preserve"> </w:t>
      </w:r>
      <w:r w:rsidR="00CB231F" w:rsidRPr="009A0A82">
        <w:rPr>
          <w:b/>
          <w:bCs/>
          <w:i w:val="0"/>
          <w:color w:val="auto"/>
          <w:sz w:val="22"/>
          <w:szCs w:val="22"/>
        </w:rPr>
        <w:t>1</w:t>
      </w:r>
      <w:r w:rsidRPr="000412A1">
        <w:rPr>
          <w:i w:val="0"/>
          <w:color w:val="auto"/>
          <w:sz w:val="22"/>
          <w:szCs w:val="22"/>
        </w:rPr>
        <w:t xml:space="preserve">. Measurements of soluble </w:t>
      </w:r>
      <w:r w:rsidR="009B760B" w:rsidRPr="009B760B">
        <w:rPr>
          <w:i w:val="0"/>
          <w:color w:val="auto"/>
          <w:sz w:val="22"/>
          <w:szCs w:val="22"/>
        </w:rPr>
        <w:t>chemical</w:t>
      </w:r>
      <w:r w:rsidR="00714990">
        <w:rPr>
          <w:i w:val="0"/>
          <w:color w:val="auto"/>
          <w:sz w:val="22"/>
          <w:szCs w:val="22"/>
        </w:rPr>
        <w:t xml:space="preserve"> </w:t>
      </w:r>
      <w:r w:rsidR="009B760B" w:rsidRPr="009B760B">
        <w:rPr>
          <w:i w:val="0"/>
          <w:color w:val="auto"/>
          <w:sz w:val="22"/>
          <w:szCs w:val="22"/>
        </w:rPr>
        <w:t>oxygen</w:t>
      </w:r>
      <w:r w:rsidR="00714990">
        <w:rPr>
          <w:i w:val="0"/>
          <w:color w:val="auto"/>
          <w:sz w:val="22"/>
          <w:szCs w:val="22"/>
        </w:rPr>
        <w:t xml:space="preserve"> </w:t>
      </w:r>
      <w:r w:rsidR="009B760B" w:rsidRPr="009B760B">
        <w:rPr>
          <w:i w:val="0"/>
          <w:color w:val="auto"/>
          <w:sz w:val="22"/>
          <w:szCs w:val="22"/>
        </w:rPr>
        <w:t>demand</w:t>
      </w:r>
      <w:r w:rsidR="009B760B" w:rsidRPr="009B760B">
        <w:rPr>
          <w:color w:val="auto"/>
          <w:sz w:val="22"/>
          <w:szCs w:val="22"/>
        </w:rPr>
        <w:t xml:space="preserve"> </w:t>
      </w:r>
      <w:r w:rsidR="009B760B">
        <w:rPr>
          <w:i w:val="0"/>
          <w:iCs w:val="0"/>
          <w:color w:val="auto"/>
          <w:sz w:val="22"/>
          <w:szCs w:val="22"/>
        </w:rPr>
        <w:t>(</w:t>
      </w:r>
      <w:r w:rsidRPr="000412A1">
        <w:rPr>
          <w:i w:val="0"/>
          <w:color w:val="auto"/>
          <w:sz w:val="22"/>
          <w:szCs w:val="22"/>
        </w:rPr>
        <w:t>COD</w:t>
      </w:r>
      <w:r w:rsidR="009B760B">
        <w:rPr>
          <w:i w:val="0"/>
          <w:color w:val="auto"/>
          <w:sz w:val="22"/>
          <w:szCs w:val="22"/>
        </w:rPr>
        <w:t>)</w:t>
      </w:r>
      <w:r w:rsidRPr="000412A1">
        <w:rPr>
          <w:i w:val="0"/>
          <w:color w:val="auto"/>
          <w:sz w:val="22"/>
          <w:szCs w:val="22"/>
        </w:rPr>
        <w:t xml:space="preserve"> and</w:t>
      </w:r>
      <w:r w:rsidR="009B760B">
        <w:rPr>
          <w:i w:val="0"/>
          <w:color w:val="auto"/>
          <w:sz w:val="22"/>
          <w:szCs w:val="22"/>
        </w:rPr>
        <w:t xml:space="preserve"> total organic carbon</w:t>
      </w:r>
      <w:r w:rsidRPr="000412A1">
        <w:rPr>
          <w:i w:val="0"/>
          <w:color w:val="auto"/>
          <w:sz w:val="22"/>
          <w:szCs w:val="22"/>
        </w:rPr>
        <w:t xml:space="preserve"> </w:t>
      </w:r>
      <w:r w:rsidR="009B760B">
        <w:rPr>
          <w:i w:val="0"/>
          <w:color w:val="auto"/>
          <w:sz w:val="22"/>
          <w:szCs w:val="22"/>
        </w:rPr>
        <w:t>(</w:t>
      </w:r>
      <w:r w:rsidRPr="000412A1">
        <w:rPr>
          <w:i w:val="0"/>
          <w:color w:val="auto"/>
          <w:sz w:val="22"/>
          <w:szCs w:val="22"/>
        </w:rPr>
        <w:t>TOC</w:t>
      </w:r>
      <w:r w:rsidR="009B760B">
        <w:rPr>
          <w:i w:val="0"/>
          <w:color w:val="auto"/>
          <w:sz w:val="22"/>
          <w:szCs w:val="22"/>
        </w:rPr>
        <w:t>)</w:t>
      </w:r>
      <w:r w:rsidRPr="000412A1">
        <w:rPr>
          <w:i w:val="0"/>
          <w:color w:val="auto"/>
          <w:sz w:val="22"/>
          <w:szCs w:val="22"/>
        </w:rPr>
        <w:t xml:space="preserve"> obtained before and after different </w:t>
      </w:r>
      <w:proofErr w:type="spellStart"/>
      <w:r w:rsidRPr="000412A1">
        <w:rPr>
          <w:i w:val="0"/>
          <w:color w:val="auto"/>
          <w:sz w:val="22"/>
          <w:szCs w:val="22"/>
        </w:rPr>
        <w:t>pretreatments</w:t>
      </w:r>
      <w:proofErr w:type="spellEnd"/>
      <w:r w:rsidRPr="000412A1">
        <w:rPr>
          <w:i w:val="0"/>
          <w:color w:val="auto"/>
          <w:sz w:val="22"/>
          <w:szCs w:val="22"/>
        </w:rPr>
        <w:t xml:space="preserve"> on WAS electro</w:t>
      </w:r>
      <w:r w:rsidR="00C02204" w:rsidRPr="000412A1">
        <w:rPr>
          <w:i w:val="0"/>
          <w:color w:val="auto"/>
          <w:sz w:val="22"/>
          <w:szCs w:val="22"/>
        </w:rPr>
        <w:t>-</w:t>
      </w:r>
      <w:r w:rsidRPr="000412A1">
        <w:rPr>
          <w:i w:val="0"/>
          <w:color w:val="auto"/>
          <w:sz w:val="22"/>
          <w:szCs w:val="22"/>
        </w:rPr>
        <w:t>oxidation.</w:t>
      </w:r>
    </w:p>
    <w:p w14:paraId="791F4F7B" w14:textId="77777777" w:rsidR="00A65FC9" w:rsidRPr="000412A1" w:rsidRDefault="00A65FC9" w:rsidP="000B187C">
      <w:pPr>
        <w:spacing w:line="480" w:lineRule="auto"/>
      </w:pPr>
    </w:p>
    <w:p w14:paraId="50E4DA0F" w14:textId="601E711F" w:rsidR="00C538E2" w:rsidRPr="000412A1" w:rsidRDefault="00C02204">
      <w:pPr>
        <w:tabs>
          <w:tab w:val="left" w:pos="426"/>
        </w:tabs>
        <w:spacing w:line="480" w:lineRule="auto"/>
        <w:rPr>
          <w:sz w:val="22"/>
          <w:szCs w:val="22"/>
        </w:rPr>
      </w:pPr>
      <w:r w:rsidRPr="000412A1">
        <w:rPr>
          <w:sz w:val="22"/>
          <w:szCs w:val="22"/>
        </w:rPr>
        <w:t xml:space="preserve">Electro-oxidation </w:t>
      </w:r>
      <w:r w:rsidR="00BD5C18" w:rsidRPr="000412A1">
        <w:rPr>
          <w:sz w:val="22"/>
          <w:szCs w:val="22"/>
        </w:rPr>
        <w:t>efficien</w:t>
      </w:r>
      <w:r w:rsidR="005F5DC4" w:rsidRPr="000412A1">
        <w:rPr>
          <w:sz w:val="22"/>
          <w:szCs w:val="22"/>
        </w:rPr>
        <w:t>c</w:t>
      </w:r>
      <w:r w:rsidR="00BD5C18" w:rsidRPr="000412A1">
        <w:rPr>
          <w:sz w:val="22"/>
          <w:szCs w:val="22"/>
        </w:rPr>
        <w:t xml:space="preserve">y as </w:t>
      </w:r>
      <w:proofErr w:type="spellStart"/>
      <w:r w:rsidR="00740310" w:rsidRPr="000412A1">
        <w:rPr>
          <w:sz w:val="22"/>
          <w:szCs w:val="22"/>
        </w:rPr>
        <w:t>pretreatment</w:t>
      </w:r>
      <w:proofErr w:type="spellEnd"/>
      <w:r w:rsidR="00BD5C18" w:rsidRPr="000412A1">
        <w:rPr>
          <w:sz w:val="22"/>
          <w:szCs w:val="22"/>
        </w:rPr>
        <w:t xml:space="preserve"> </w:t>
      </w:r>
      <w:r w:rsidR="008753B5" w:rsidRPr="000412A1">
        <w:rPr>
          <w:sz w:val="22"/>
          <w:szCs w:val="22"/>
        </w:rPr>
        <w:t>was</w:t>
      </w:r>
      <w:r w:rsidR="00BD5C18" w:rsidRPr="000412A1">
        <w:rPr>
          <w:sz w:val="22"/>
          <w:szCs w:val="22"/>
        </w:rPr>
        <w:t xml:space="preserve"> greatly enhanced by the </w:t>
      </w:r>
      <w:r w:rsidR="009C45BA" w:rsidRPr="000412A1">
        <w:rPr>
          <w:sz w:val="22"/>
          <w:szCs w:val="22"/>
        </w:rPr>
        <w:t xml:space="preserve">applied </w:t>
      </w:r>
      <w:r w:rsidR="00BD5C18" w:rsidRPr="000412A1">
        <w:rPr>
          <w:sz w:val="22"/>
          <w:szCs w:val="22"/>
        </w:rPr>
        <w:t>conditions</w:t>
      </w:r>
      <w:r w:rsidR="0078319D" w:rsidRPr="000412A1">
        <w:rPr>
          <w:sz w:val="22"/>
          <w:szCs w:val="22"/>
        </w:rPr>
        <w:t xml:space="preserve">. </w:t>
      </w:r>
      <w:r w:rsidR="00BD5C18" w:rsidRPr="000412A1">
        <w:rPr>
          <w:sz w:val="22"/>
          <w:szCs w:val="22"/>
        </w:rPr>
        <w:t xml:space="preserve">Treatment </w:t>
      </w:r>
      <w:r w:rsidR="0078319D" w:rsidRPr="000412A1">
        <w:rPr>
          <w:sz w:val="22"/>
          <w:szCs w:val="22"/>
        </w:rPr>
        <w:t>T1</w:t>
      </w:r>
      <w:r w:rsidR="00E77B2A" w:rsidRPr="000412A1">
        <w:rPr>
          <w:sz w:val="22"/>
          <w:szCs w:val="22"/>
        </w:rPr>
        <w:t>,</w:t>
      </w:r>
      <w:r w:rsidR="0078319D" w:rsidRPr="000412A1">
        <w:rPr>
          <w:sz w:val="22"/>
          <w:szCs w:val="22"/>
        </w:rPr>
        <w:t xml:space="preserve"> </w:t>
      </w:r>
      <w:r w:rsidR="00BD5C18" w:rsidRPr="000412A1">
        <w:rPr>
          <w:sz w:val="22"/>
          <w:szCs w:val="22"/>
        </w:rPr>
        <w:t xml:space="preserve">where the </w:t>
      </w:r>
      <w:r w:rsidR="0078319D" w:rsidRPr="000412A1">
        <w:rPr>
          <w:sz w:val="22"/>
          <w:szCs w:val="22"/>
        </w:rPr>
        <w:t xml:space="preserve">conductivity of the system </w:t>
      </w:r>
      <w:r w:rsidR="009C45BA" w:rsidRPr="000412A1">
        <w:rPr>
          <w:sz w:val="22"/>
          <w:szCs w:val="22"/>
        </w:rPr>
        <w:t>remained intact</w:t>
      </w:r>
      <w:r w:rsidR="00E77B2A" w:rsidRPr="000412A1">
        <w:rPr>
          <w:sz w:val="22"/>
          <w:szCs w:val="22"/>
        </w:rPr>
        <w:t>,</w:t>
      </w:r>
      <w:r w:rsidR="00BD5C18" w:rsidRPr="000412A1">
        <w:rPr>
          <w:sz w:val="22"/>
          <w:szCs w:val="22"/>
        </w:rPr>
        <w:t xml:space="preserve"> </w:t>
      </w:r>
      <w:r w:rsidR="008C7B13" w:rsidRPr="000412A1">
        <w:rPr>
          <w:sz w:val="22"/>
          <w:szCs w:val="22"/>
        </w:rPr>
        <w:t xml:space="preserve">reported </w:t>
      </w:r>
      <w:r w:rsidR="00BD5C18" w:rsidRPr="000412A1">
        <w:rPr>
          <w:sz w:val="22"/>
          <w:szCs w:val="22"/>
        </w:rPr>
        <w:t xml:space="preserve">higher soluble COD </w:t>
      </w:r>
      <w:r w:rsidR="0078319D" w:rsidRPr="000412A1">
        <w:rPr>
          <w:sz w:val="22"/>
          <w:szCs w:val="22"/>
        </w:rPr>
        <w:t>values</w:t>
      </w:r>
      <w:r w:rsidR="00E77B2A" w:rsidRPr="000412A1">
        <w:rPr>
          <w:sz w:val="22"/>
          <w:szCs w:val="22"/>
        </w:rPr>
        <w:t>,</w:t>
      </w:r>
      <w:r w:rsidR="0078319D" w:rsidRPr="000412A1">
        <w:rPr>
          <w:sz w:val="22"/>
          <w:szCs w:val="22"/>
        </w:rPr>
        <w:t xml:space="preserve"> </w:t>
      </w:r>
      <w:r w:rsidR="001E0387" w:rsidRPr="000412A1">
        <w:rPr>
          <w:sz w:val="22"/>
          <w:szCs w:val="22"/>
        </w:rPr>
        <w:t xml:space="preserve">between those </w:t>
      </w:r>
      <w:r w:rsidR="00BD5C18" w:rsidRPr="000412A1">
        <w:rPr>
          <w:sz w:val="22"/>
          <w:szCs w:val="22"/>
        </w:rPr>
        <w:t xml:space="preserve">measured for this sample and the control (WAS). </w:t>
      </w:r>
      <w:r w:rsidR="009C45BA" w:rsidRPr="000412A1">
        <w:rPr>
          <w:sz w:val="22"/>
          <w:szCs w:val="22"/>
        </w:rPr>
        <w:t>T</w:t>
      </w:r>
      <w:r w:rsidR="00BD5C18" w:rsidRPr="000412A1">
        <w:rPr>
          <w:sz w:val="22"/>
          <w:szCs w:val="22"/>
        </w:rPr>
        <w:t>reatment</w:t>
      </w:r>
      <w:r w:rsidR="009C45BA" w:rsidRPr="000412A1">
        <w:rPr>
          <w:sz w:val="22"/>
          <w:szCs w:val="22"/>
        </w:rPr>
        <w:t>s</w:t>
      </w:r>
      <w:r w:rsidR="00BD5C18" w:rsidRPr="000412A1">
        <w:rPr>
          <w:sz w:val="22"/>
          <w:szCs w:val="22"/>
        </w:rPr>
        <w:t xml:space="preserve"> T2 and T3</w:t>
      </w:r>
      <w:r w:rsidR="009C45BA" w:rsidRPr="000412A1">
        <w:rPr>
          <w:sz w:val="22"/>
          <w:szCs w:val="22"/>
        </w:rPr>
        <w:t xml:space="preserve"> </w:t>
      </w:r>
      <w:r w:rsidR="00BD5C18" w:rsidRPr="000412A1">
        <w:rPr>
          <w:sz w:val="22"/>
          <w:szCs w:val="22"/>
        </w:rPr>
        <w:t xml:space="preserve">evaluated the effect of increasing </w:t>
      </w:r>
      <w:r w:rsidR="0078319D" w:rsidRPr="000412A1">
        <w:rPr>
          <w:sz w:val="22"/>
          <w:szCs w:val="22"/>
        </w:rPr>
        <w:t>conductivity</w:t>
      </w:r>
      <w:r w:rsidR="00BD5C18" w:rsidRPr="000412A1">
        <w:rPr>
          <w:sz w:val="22"/>
          <w:szCs w:val="22"/>
        </w:rPr>
        <w:t xml:space="preserve"> </w:t>
      </w:r>
      <w:r w:rsidR="00BD00C5" w:rsidRPr="000412A1">
        <w:rPr>
          <w:sz w:val="22"/>
          <w:szCs w:val="22"/>
        </w:rPr>
        <w:t xml:space="preserve">after </w:t>
      </w:r>
      <w:r w:rsidR="00BD5C18" w:rsidRPr="000412A1">
        <w:rPr>
          <w:sz w:val="22"/>
          <w:szCs w:val="22"/>
        </w:rPr>
        <w:t>the addition of Na</w:t>
      </w:r>
      <w:r w:rsidR="00BD5C18" w:rsidRPr="000412A1">
        <w:rPr>
          <w:sz w:val="22"/>
          <w:szCs w:val="22"/>
          <w:vertAlign w:val="subscript"/>
        </w:rPr>
        <w:t>2</w:t>
      </w:r>
      <w:r w:rsidR="00BD5C18" w:rsidRPr="000412A1">
        <w:rPr>
          <w:sz w:val="22"/>
          <w:szCs w:val="22"/>
        </w:rPr>
        <w:t>SO</w:t>
      </w:r>
      <w:r w:rsidR="00BD5C18" w:rsidRPr="000412A1">
        <w:rPr>
          <w:sz w:val="22"/>
          <w:szCs w:val="22"/>
          <w:vertAlign w:val="subscript"/>
        </w:rPr>
        <w:t>4</w:t>
      </w:r>
      <w:r w:rsidR="0078319D" w:rsidRPr="000412A1">
        <w:rPr>
          <w:sz w:val="22"/>
          <w:szCs w:val="22"/>
        </w:rPr>
        <w:t xml:space="preserve"> </w:t>
      </w:r>
      <w:r w:rsidR="009C45BA" w:rsidRPr="000412A1">
        <w:rPr>
          <w:sz w:val="22"/>
          <w:szCs w:val="22"/>
        </w:rPr>
        <w:t xml:space="preserve">and </w:t>
      </w:r>
      <w:r w:rsidR="00BD5C18" w:rsidRPr="000412A1">
        <w:rPr>
          <w:sz w:val="22"/>
          <w:szCs w:val="22"/>
        </w:rPr>
        <w:t>reported a</w:t>
      </w:r>
      <w:r w:rsidR="0078319D" w:rsidRPr="000412A1">
        <w:rPr>
          <w:sz w:val="22"/>
          <w:szCs w:val="22"/>
        </w:rPr>
        <w:t xml:space="preserve"> </w:t>
      </w:r>
      <w:r w:rsidRPr="000412A1">
        <w:rPr>
          <w:sz w:val="22"/>
          <w:szCs w:val="22"/>
        </w:rPr>
        <w:t>two</w:t>
      </w:r>
      <w:r w:rsidR="0078319D" w:rsidRPr="000412A1">
        <w:rPr>
          <w:sz w:val="22"/>
          <w:szCs w:val="22"/>
        </w:rPr>
        <w:t>fold increase</w:t>
      </w:r>
      <w:r w:rsidR="00BD5C18" w:rsidRPr="000412A1">
        <w:rPr>
          <w:sz w:val="22"/>
          <w:szCs w:val="22"/>
        </w:rPr>
        <w:t xml:space="preserve"> </w:t>
      </w:r>
      <w:r w:rsidR="009C45BA" w:rsidRPr="000412A1">
        <w:rPr>
          <w:sz w:val="22"/>
          <w:szCs w:val="22"/>
        </w:rPr>
        <w:t xml:space="preserve">when </w:t>
      </w:r>
      <w:r w:rsidR="00E77B2A" w:rsidRPr="000412A1">
        <w:rPr>
          <w:sz w:val="22"/>
          <w:szCs w:val="22"/>
        </w:rPr>
        <w:t xml:space="preserve">compared </w:t>
      </w:r>
      <w:r w:rsidR="00BD5C18" w:rsidRPr="000412A1">
        <w:rPr>
          <w:sz w:val="22"/>
          <w:szCs w:val="22"/>
        </w:rPr>
        <w:t xml:space="preserve">with the </w:t>
      </w:r>
      <w:r w:rsidR="0078319D" w:rsidRPr="000412A1">
        <w:rPr>
          <w:sz w:val="22"/>
          <w:szCs w:val="22"/>
        </w:rPr>
        <w:t xml:space="preserve">control </w:t>
      </w:r>
      <w:r w:rsidR="008C7B13" w:rsidRPr="000412A1">
        <w:rPr>
          <w:sz w:val="22"/>
          <w:szCs w:val="22"/>
        </w:rPr>
        <w:t>sample</w:t>
      </w:r>
      <w:r w:rsidR="00C538E2" w:rsidRPr="000412A1">
        <w:rPr>
          <w:sz w:val="22"/>
          <w:szCs w:val="22"/>
        </w:rPr>
        <w:t xml:space="preserve">. However, the increment in the concentration of the </w:t>
      </w:r>
      <w:r w:rsidR="009B760B" w:rsidRPr="000412A1">
        <w:rPr>
          <w:sz w:val="22"/>
          <w:szCs w:val="22"/>
        </w:rPr>
        <w:t>sulphate</w:t>
      </w:r>
      <w:r w:rsidR="00E77B2A" w:rsidRPr="000412A1">
        <w:rPr>
          <w:sz w:val="22"/>
          <w:szCs w:val="22"/>
        </w:rPr>
        <w:t xml:space="preserve"> </w:t>
      </w:r>
      <w:r w:rsidR="00C538E2" w:rsidRPr="000412A1">
        <w:rPr>
          <w:sz w:val="22"/>
          <w:szCs w:val="22"/>
        </w:rPr>
        <w:t>salt did not report a great increase in the solubilisation of the organic material</w:t>
      </w:r>
      <w:r w:rsidR="0078319D" w:rsidRPr="000412A1">
        <w:rPr>
          <w:sz w:val="22"/>
          <w:szCs w:val="22"/>
        </w:rPr>
        <w:t xml:space="preserve">. </w:t>
      </w:r>
    </w:p>
    <w:p w14:paraId="4FB0FC1A" w14:textId="77777777" w:rsidR="00C538E2" w:rsidRPr="000412A1" w:rsidRDefault="00C538E2">
      <w:pPr>
        <w:tabs>
          <w:tab w:val="left" w:pos="426"/>
        </w:tabs>
        <w:spacing w:line="480" w:lineRule="auto"/>
        <w:rPr>
          <w:sz w:val="22"/>
          <w:szCs w:val="22"/>
        </w:rPr>
      </w:pPr>
    </w:p>
    <w:p w14:paraId="64E589CE" w14:textId="3FC21E02" w:rsidR="005D397C" w:rsidRPr="000412A1" w:rsidRDefault="00C538E2">
      <w:pPr>
        <w:tabs>
          <w:tab w:val="left" w:pos="426"/>
        </w:tabs>
        <w:spacing w:line="480" w:lineRule="auto"/>
        <w:rPr>
          <w:sz w:val="22"/>
          <w:szCs w:val="22"/>
        </w:rPr>
      </w:pPr>
      <w:r w:rsidRPr="000412A1">
        <w:rPr>
          <w:sz w:val="22"/>
          <w:szCs w:val="22"/>
        </w:rPr>
        <w:t>The performance of electro</w:t>
      </w:r>
      <w:r w:rsidR="00C02204" w:rsidRPr="000412A1">
        <w:rPr>
          <w:sz w:val="22"/>
          <w:szCs w:val="22"/>
        </w:rPr>
        <w:t>-</w:t>
      </w:r>
      <w:r w:rsidRPr="000412A1">
        <w:rPr>
          <w:sz w:val="22"/>
          <w:szCs w:val="22"/>
        </w:rPr>
        <w:t xml:space="preserve">oxidation </w:t>
      </w:r>
      <w:proofErr w:type="spellStart"/>
      <w:r w:rsidR="00740310" w:rsidRPr="000412A1">
        <w:rPr>
          <w:sz w:val="22"/>
          <w:szCs w:val="22"/>
        </w:rPr>
        <w:t>pretreatment</w:t>
      </w:r>
      <w:proofErr w:type="spellEnd"/>
      <w:r w:rsidRPr="000412A1">
        <w:rPr>
          <w:sz w:val="22"/>
          <w:szCs w:val="22"/>
        </w:rPr>
        <w:t xml:space="preserve"> was</w:t>
      </w:r>
      <w:r w:rsidR="008C7B13" w:rsidRPr="000412A1">
        <w:rPr>
          <w:sz w:val="22"/>
          <w:szCs w:val="22"/>
        </w:rPr>
        <w:t xml:space="preserve"> also</w:t>
      </w:r>
      <w:r w:rsidRPr="000412A1">
        <w:rPr>
          <w:sz w:val="22"/>
          <w:szCs w:val="22"/>
        </w:rPr>
        <w:t xml:space="preserve"> evaluated under acidic (T4) and alkaline (T5) conditions. </w:t>
      </w:r>
      <w:r w:rsidR="00C16210" w:rsidRPr="000412A1">
        <w:rPr>
          <w:sz w:val="22"/>
          <w:szCs w:val="22"/>
        </w:rPr>
        <w:t>The latter</w:t>
      </w:r>
      <w:r w:rsidRPr="000412A1">
        <w:rPr>
          <w:sz w:val="22"/>
          <w:szCs w:val="22"/>
        </w:rPr>
        <w:t xml:space="preserve"> </w:t>
      </w:r>
      <w:proofErr w:type="spellStart"/>
      <w:r w:rsidR="00740310" w:rsidRPr="000412A1">
        <w:rPr>
          <w:sz w:val="22"/>
          <w:szCs w:val="22"/>
        </w:rPr>
        <w:t>pretreatment</w:t>
      </w:r>
      <w:proofErr w:type="spellEnd"/>
      <w:r w:rsidRPr="000412A1">
        <w:rPr>
          <w:sz w:val="22"/>
          <w:szCs w:val="22"/>
        </w:rPr>
        <w:t xml:space="preserve"> test </w:t>
      </w:r>
      <w:r w:rsidR="009B760B">
        <w:rPr>
          <w:sz w:val="22"/>
          <w:szCs w:val="22"/>
        </w:rPr>
        <w:t>had</w:t>
      </w:r>
      <w:r w:rsidR="009B760B" w:rsidRPr="000412A1">
        <w:rPr>
          <w:sz w:val="22"/>
          <w:szCs w:val="22"/>
        </w:rPr>
        <w:t xml:space="preserve"> </w:t>
      </w:r>
      <w:r w:rsidRPr="000412A1">
        <w:rPr>
          <w:sz w:val="22"/>
          <w:szCs w:val="22"/>
        </w:rPr>
        <w:t xml:space="preserve">the best </w:t>
      </w:r>
      <w:r w:rsidR="008C7B13" w:rsidRPr="000412A1">
        <w:rPr>
          <w:sz w:val="22"/>
          <w:szCs w:val="22"/>
        </w:rPr>
        <w:t xml:space="preserve">results in </w:t>
      </w:r>
      <w:r w:rsidRPr="000412A1">
        <w:rPr>
          <w:sz w:val="22"/>
          <w:szCs w:val="22"/>
        </w:rPr>
        <w:t xml:space="preserve">solubilisation as </w:t>
      </w:r>
      <w:r w:rsidRPr="000412A1">
        <w:rPr>
          <w:sz w:val="22"/>
          <w:szCs w:val="22"/>
        </w:rPr>
        <w:lastRenderedPageBreak/>
        <w:t xml:space="preserve">previously commented, probably associated </w:t>
      </w:r>
      <w:r w:rsidR="001E0387" w:rsidRPr="000412A1">
        <w:rPr>
          <w:sz w:val="22"/>
          <w:szCs w:val="22"/>
        </w:rPr>
        <w:t xml:space="preserve">with </w:t>
      </w:r>
      <w:r w:rsidRPr="000412A1">
        <w:rPr>
          <w:sz w:val="22"/>
          <w:szCs w:val="22"/>
        </w:rPr>
        <w:t>the intrinsic enhancement of conductivity provided by the addition of the alkaline solution to increase the pH of the reactor to 10 units</w:t>
      </w:r>
      <w:r w:rsidR="00560703" w:rsidRPr="000412A1">
        <w:rPr>
          <w:sz w:val="22"/>
          <w:szCs w:val="22"/>
        </w:rPr>
        <w:t>.</w:t>
      </w:r>
    </w:p>
    <w:p w14:paraId="050D9C9C" w14:textId="545E4D1A" w:rsidR="0024612E" w:rsidRPr="000412A1" w:rsidRDefault="0024612E">
      <w:pPr>
        <w:tabs>
          <w:tab w:val="left" w:pos="426"/>
        </w:tabs>
        <w:spacing w:line="480" w:lineRule="auto"/>
        <w:rPr>
          <w:noProof/>
          <w:sz w:val="22"/>
          <w:szCs w:val="22"/>
          <w:lang w:eastAsia="en-US"/>
        </w:rPr>
      </w:pPr>
    </w:p>
    <w:p w14:paraId="39929AD8" w14:textId="36E4CD0F" w:rsidR="0024612E" w:rsidRPr="000412A1" w:rsidRDefault="0024612E" w:rsidP="0024612E">
      <w:pPr>
        <w:tabs>
          <w:tab w:val="left" w:pos="426"/>
        </w:tabs>
        <w:spacing w:line="480" w:lineRule="auto"/>
        <w:rPr>
          <w:sz w:val="22"/>
          <w:szCs w:val="22"/>
        </w:rPr>
      </w:pPr>
      <w:r w:rsidRPr="000412A1">
        <w:rPr>
          <w:sz w:val="22"/>
          <w:szCs w:val="22"/>
        </w:rPr>
        <w:t>Several authors observed the effectiveness of electr</w:t>
      </w:r>
      <w:r w:rsidR="001E7DCA" w:rsidRPr="000412A1">
        <w:rPr>
          <w:sz w:val="22"/>
          <w:szCs w:val="22"/>
        </w:rPr>
        <w:t>o-o</w:t>
      </w:r>
      <w:r w:rsidRPr="000412A1">
        <w:rPr>
          <w:sz w:val="22"/>
          <w:szCs w:val="22"/>
        </w:rPr>
        <w:t xml:space="preserve">xidation treatment </w:t>
      </w:r>
      <w:r w:rsidR="004F33EA" w:rsidRPr="000412A1">
        <w:rPr>
          <w:sz w:val="22"/>
          <w:szCs w:val="22"/>
        </w:rPr>
        <w:t>of WAS regarding its</w:t>
      </w:r>
      <w:r w:rsidRPr="000412A1">
        <w:rPr>
          <w:sz w:val="22"/>
          <w:szCs w:val="22"/>
        </w:rPr>
        <w:t xml:space="preserve"> solubilisation and </w:t>
      </w:r>
      <w:r w:rsidR="004F33EA" w:rsidRPr="000412A1">
        <w:rPr>
          <w:sz w:val="22"/>
          <w:szCs w:val="22"/>
        </w:rPr>
        <w:t xml:space="preserve">further improvement </w:t>
      </w:r>
      <w:r w:rsidR="0042757D" w:rsidRPr="000412A1">
        <w:rPr>
          <w:sz w:val="22"/>
          <w:szCs w:val="22"/>
        </w:rPr>
        <w:t>in</w:t>
      </w:r>
      <w:r w:rsidR="004F33EA" w:rsidRPr="000412A1">
        <w:rPr>
          <w:sz w:val="22"/>
          <w:szCs w:val="22"/>
        </w:rPr>
        <w:t xml:space="preserve"> </w:t>
      </w:r>
      <w:r w:rsidR="000443A9" w:rsidRPr="000412A1">
        <w:rPr>
          <w:sz w:val="22"/>
          <w:szCs w:val="22"/>
        </w:rPr>
        <w:t xml:space="preserve">anaerobic </w:t>
      </w:r>
      <w:r w:rsidR="006B57CF" w:rsidRPr="000412A1">
        <w:rPr>
          <w:sz w:val="22"/>
          <w:szCs w:val="22"/>
        </w:rPr>
        <w:t>digestion</w:t>
      </w:r>
      <w:r w:rsidRPr="000412A1">
        <w:rPr>
          <w:sz w:val="22"/>
          <w:szCs w:val="22"/>
        </w:rPr>
        <w:t>. The electr</w:t>
      </w:r>
      <w:r w:rsidR="001E7DCA" w:rsidRPr="000412A1">
        <w:rPr>
          <w:sz w:val="22"/>
          <w:szCs w:val="22"/>
        </w:rPr>
        <w:t>o-o</w:t>
      </w:r>
      <w:r w:rsidRPr="000412A1">
        <w:rPr>
          <w:sz w:val="22"/>
          <w:szCs w:val="22"/>
        </w:rPr>
        <w:t xml:space="preserve">xidation experiments </w:t>
      </w:r>
      <w:r w:rsidR="006C1142" w:rsidRPr="000412A1">
        <w:rPr>
          <w:sz w:val="22"/>
          <w:szCs w:val="22"/>
        </w:rPr>
        <w:t xml:space="preserve">by </w:t>
      </w:r>
      <w:r w:rsidRPr="000412A1">
        <w:rPr>
          <w:sz w:val="22"/>
          <w:szCs w:val="22"/>
        </w:rPr>
        <w:fldChar w:fldCharType="begin" w:fldLock="1"/>
      </w:r>
      <w:r w:rsidR="00A07857" w:rsidRPr="000412A1">
        <w:rPr>
          <w:sz w:val="22"/>
          <w:szCs w:val="22"/>
        </w:rPr>
        <w:instrText>ADDIN CSL_CITATION { "citationItems" : [ { "id" : "ITEM-1", "itemData" : { "DOI" : "10.1007/s11356-015-4677-2", "ISSN" : "16147499", "abstract" : "Disintegration of municipal waste-activated sludge (WAS) is regarded as a prerequisite of the anaerobic digestion process to reduce sludge volume and improve biogas yield. Pretreatment of WAS using thermo-alkaline (TA), H2O2 oxidation, electrolysis and electro-oxidation (EO) processes were investigated and compared in term of COD solubilization and biogas production. For each pretreatment, the influences of different operational variables were studied in detail. At optimum conditions, EO gave the maximum COD solubilization (28\u00a0{%}). The effects of pretreatments under the optimum conditions on anaerobic digestion were experienced with biochemical methane potential assay. Significant increases in biogas yield up to 78 and 40\u00a0{%} were observed respectively in the EO and TA pretreated samples compared to raw sludge. Results clearly revealed that the application of EO is a significant alternative method for the improvement of WAS anaerobic digestion.", "author" : [ { "dropping-particle" : "", "family" : "Feki", "given" : "Emna", "non-dropping-particle" : "", "parse-names" : false, "suffix" : "" }, { "dropping-particle" : "", "family" : "Khoufi", "given" : "Sonia", "non-dropping-particle" : "", "parse-names" : false, "suffix" : "" }, { "dropping-particle" : "", "family" : "Loukil", "given" : "Slim", "non-dropping-particle" : "", "parse-names" : false, "suffix" : "" }, { "dropping-particle" : "", "family" : "Sayadi", "given" : "Sami", "non-dropping-particle" : "", "parse-names" : false, "suffix" : "" } ], "container-title" : "Environmental Science and Pollution Research", "id" : "ITEM-1", "issue" : "19", "issued" : { "date-parts" : [ [ "2015" ] ] }, "page" : "14717-14726", "title" : "Improvement of anaerobic digestion of waste-activated sludge by using H2O2 oxidation, electrolysis, electro-oxidation and thermo-alkaline pretreatments", "type" : "article-journal", "volume" : "22" }, "uris" : [ "http://www.mendeley.com/documents/?uuid=73177ae6-f5a4-4a8a-9f9f-dbdb4375b569", "http://www.mendeley.com/documents/?uuid=23562cc2-3325-4449-ab32-0ce9bb87b174", "http://www.mendeley.com/documents/?uuid=eb237799-b84a-4179-aecb-69ab4134d5dc" ] } ], "mendeley" : { "formattedCitation" : "(Feki et al., 2015)", "manualFormatting" : "Feki et al. (2015)", "plainTextFormattedCitation" : "(Feki et al., 2015)", "previouslyFormattedCitation" : "(Feki et al., 2015)" }, "properties" : {  }, "schema" : "https://github.com/citation-style-language/schema/raw/master/csl-citation.json" }</w:instrText>
      </w:r>
      <w:r w:rsidRPr="000412A1">
        <w:rPr>
          <w:sz w:val="22"/>
          <w:szCs w:val="22"/>
        </w:rPr>
        <w:fldChar w:fldCharType="separate"/>
      </w:r>
      <w:r w:rsidR="00FD4989" w:rsidRPr="000412A1">
        <w:rPr>
          <w:noProof/>
          <w:sz w:val="22"/>
          <w:szCs w:val="22"/>
        </w:rPr>
        <w:t>Feki et al. (2015)</w:t>
      </w:r>
      <w:r w:rsidRPr="000412A1">
        <w:rPr>
          <w:sz w:val="22"/>
          <w:szCs w:val="22"/>
        </w:rPr>
        <w:fldChar w:fldCharType="end"/>
      </w:r>
      <w:r w:rsidRPr="000412A1">
        <w:rPr>
          <w:sz w:val="22"/>
          <w:szCs w:val="22"/>
        </w:rPr>
        <w:t xml:space="preserve"> improved</w:t>
      </w:r>
      <w:r w:rsidR="006C1142" w:rsidRPr="000412A1">
        <w:rPr>
          <w:sz w:val="22"/>
          <w:szCs w:val="22"/>
        </w:rPr>
        <w:t xml:space="preserve"> </w:t>
      </w:r>
      <w:r w:rsidR="009B760B" w:rsidRPr="000412A1">
        <w:rPr>
          <w:sz w:val="22"/>
          <w:szCs w:val="22"/>
        </w:rPr>
        <w:t>COD</w:t>
      </w:r>
      <w:r w:rsidR="009B760B" w:rsidRPr="009B760B">
        <w:rPr>
          <w:sz w:val="22"/>
          <w:szCs w:val="22"/>
        </w:rPr>
        <w:t xml:space="preserve"> </w:t>
      </w:r>
      <w:r w:rsidRPr="000412A1">
        <w:rPr>
          <w:sz w:val="22"/>
          <w:szCs w:val="22"/>
        </w:rPr>
        <w:t xml:space="preserve">solubilisation </w:t>
      </w:r>
      <w:r w:rsidR="009B760B" w:rsidRPr="000412A1">
        <w:rPr>
          <w:sz w:val="22"/>
          <w:szCs w:val="22"/>
        </w:rPr>
        <w:t>by 28%</w:t>
      </w:r>
      <w:r w:rsidR="004E0795">
        <w:rPr>
          <w:sz w:val="22"/>
          <w:szCs w:val="22"/>
        </w:rPr>
        <w:t xml:space="preserve"> </w:t>
      </w:r>
      <w:r w:rsidR="008C7B13" w:rsidRPr="000412A1">
        <w:rPr>
          <w:sz w:val="22"/>
          <w:szCs w:val="22"/>
        </w:rPr>
        <w:t xml:space="preserve">with </w:t>
      </w:r>
      <w:r w:rsidR="009C5872" w:rsidRPr="000412A1">
        <w:rPr>
          <w:sz w:val="22"/>
          <w:szCs w:val="22"/>
        </w:rPr>
        <w:t>the</w:t>
      </w:r>
      <w:r w:rsidR="008C7B13" w:rsidRPr="000412A1">
        <w:rPr>
          <w:sz w:val="22"/>
          <w:szCs w:val="22"/>
        </w:rPr>
        <w:t>ir</w:t>
      </w:r>
      <w:r w:rsidR="009C5872" w:rsidRPr="000412A1">
        <w:rPr>
          <w:sz w:val="22"/>
          <w:szCs w:val="22"/>
        </w:rPr>
        <w:t xml:space="preserve"> experiments</w:t>
      </w:r>
      <w:r w:rsidR="009B760B">
        <w:rPr>
          <w:sz w:val="22"/>
          <w:szCs w:val="22"/>
        </w:rPr>
        <w:t>,</w:t>
      </w:r>
      <w:r w:rsidR="009C5872" w:rsidRPr="000412A1">
        <w:rPr>
          <w:sz w:val="22"/>
          <w:szCs w:val="22"/>
        </w:rPr>
        <w:t xml:space="preserve"> conducted at pH</w:t>
      </w:r>
      <w:r w:rsidR="00374E3D" w:rsidRPr="000412A1">
        <w:rPr>
          <w:sz w:val="22"/>
          <w:szCs w:val="22"/>
        </w:rPr>
        <w:t xml:space="preserve"> </w:t>
      </w:r>
      <w:r w:rsidR="009C5872" w:rsidRPr="000412A1">
        <w:rPr>
          <w:sz w:val="22"/>
          <w:szCs w:val="22"/>
        </w:rPr>
        <w:t xml:space="preserve">7 </w:t>
      </w:r>
      <w:r w:rsidR="006C1142" w:rsidRPr="000412A1">
        <w:rPr>
          <w:sz w:val="22"/>
          <w:szCs w:val="22"/>
        </w:rPr>
        <w:t xml:space="preserve">and </w:t>
      </w:r>
      <w:r w:rsidR="009C5872" w:rsidRPr="000412A1">
        <w:rPr>
          <w:sz w:val="22"/>
          <w:szCs w:val="22"/>
        </w:rPr>
        <w:t xml:space="preserve">current density of 2.5 </w:t>
      </w:r>
      <w:r w:rsidR="00204F63" w:rsidRPr="000412A1">
        <w:rPr>
          <w:sz w:val="22"/>
          <w:szCs w:val="22"/>
        </w:rPr>
        <w:t>mA cm</w:t>
      </w:r>
      <w:r w:rsidR="00C02204" w:rsidRPr="000412A1">
        <w:rPr>
          <w:sz w:val="22"/>
          <w:szCs w:val="22"/>
          <w:vertAlign w:val="superscript"/>
        </w:rPr>
        <w:t>–</w:t>
      </w:r>
      <w:r w:rsidR="00204F63" w:rsidRPr="000412A1">
        <w:rPr>
          <w:sz w:val="22"/>
          <w:szCs w:val="22"/>
          <w:vertAlign w:val="superscript"/>
        </w:rPr>
        <w:t>2</w:t>
      </w:r>
      <w:r w:rsidR="009B760B">
        <w:rPr>
          <w:sz w:val="22"/>
          <w:szCs w:val="22"/>
          <w:vertAlign w:val="superscript"/>
        </w:rPr>
        <w:t xml:space="preserve"> </w:t>
      </w:r>
      <w:r w:rsidR="00374E3D" w:rsidRPr="000412A1">
        <w:rPr>
          <w:sz w:val="22"/>
          <w:szCs w:val="22"/>
        </w:rPr>
        <w:t>for 2</w:t>
      </w:r>
      <w:r w:rsidR="001E0387" w:rsidRPr="000412A1">
        <w:rPr>
          <w:sz w:val="22"/>
          <w:szCs w:val="22"/>
        </w:rPr>
        <w:t xml:space="preserve"> </w:t>
      </w:r>
      <w:r w:rsidR="00374E3D" w:rsidRPr="000412A1">
        <w:rPr>
          <w:sz w:val="22"/>
          <w:szCs w:val="22"/>
        </w:rPr>
        <w:t>h</w:t>
      </w:r>
      <w:r w:rsidRPr="000412A1">
        <w:rPr>
          <w:sz w:val="22"/>
          <w:szCs w:val="22"/>
        </w:rPr>
        <w:t xml:space="preserve">. </w:t>
      </w:r>
      <w:r w:rsidR="000443A9" w:rsidRPr="000412A1">
        <w:rPr>
          <w:sz w:val="22"/>
          <w:szCs w:val="22"/>
        </w:rPr>
        <w:t xml:space="preserve">A </w:t>
      </w:r>
      <w:r w:rsidRPr="000412A1">
        <w:rPr>
          <w:sz w:val="22"/>
          <w:szCs w:val="22"/>
        </w:rPr>
        <w:t>stud</w:t>
      </w:r>
      <w:r w:rsidR="000443A9" w:rsidRPr="000412A1">
        <w:rPr>
          <w:sz w:val="22"/>
          <w:szCs w:val="22"/>
        </w:rPr>
        <w:t>y</w:t>
      </w:r>
      <w:r w:rsidRPr="000412A1">
        <w:rPr>
          <w:sz w:val="22"/>
          <w:szCs w:val="22"/>
        </w:rPr>
        <w:t xml:space="preserve"> </w:t>
      </w:r>
      <w:r w:rsidR="0037026D" w:rsidRPr="000412A1">
        <w:rPr>
          <w:sz w:val="22"/>
          <w:szCs w:val="22"/>
        </w:rPr>
        <w:t xml:space="preserve">performed </w:t>
      </w:r>
      <w:r w:rsidR="000443A9" w:rsidRPr="000412A1">
        <w:rPr>
          <w:sz w:val="22"/>
          <w:szCs w:val="22"/>
        </w:rPr>
        <w:t>by</w:t>
      </w:r>
      <w:r w:rsidR="00293A66" w:rsidRPr="000412A1">
        <w:rPr>
          <w:sz w:val="22"/>
          <w:szCs w:val="22"/>
        </w:rPr>
        <w:t xml:space="preserve"> </w:t>
      </w:r>
      <w:r w:rsidR="00293A66" w:rsidRPr="000412A1">
        <w:rPr>
          <w:sz w:val="22"/>
          <w:szCs w:val="22"/>
        </w:rPr>
        <w:fldChar w:fldCharType="begin" w:fldLock="1"/>
      </w:r>
      <w:r w:rsidR="00A07857" w:rsidRPr="000412A1">
        <w:rPr>
          <w:sz w:val="22"/>
          <w:szCs w:val="22"/>
        </w:rPr>
        <w:instrText>ADDIN CSL_CITATION { "citationItems" : [ { "id" : "ITEM-1", "itemData" : { "DOI" : "10.2166/wst.2016.555", "ISSN" : "02731223", "abstract" : "Anaerobic digestion of wastewater sludge is the preferred alternative for sludge treatment as it produces energy in the form of biogas as well as a stabilised product that may be land applied. Different pre-treatments have been proposed to solubilise organic matter and increase biogas production. Sludge electrooxidation with boron-doped diamond electrodes was used as pre-treatment for waste activated sludge (WAS) and its effect on physicochemical properties and biomethane potential (BMP) was evaluated. WAS with 2 and 3% total solids (TS) achieved 2.1 and 2.8% solubilisation, respectively, with higher solids requiring more energy. After pre-treatment, biodegradable chemical oxygen demand values were close to the maximum theoretical BMP, which makes sludge suitable for energy production. Anaerobic digestion reduced volatile solids by more than 30% in pre-treated sludge with a food to microorganism ratio of 0.15 g VSfed g\u22121 VSbiomass. Volatile fatty acids were lower than those for sludge without pre-treatment. Best pre-treatment conditions were 3% TS and 28.6 mA cm\u22122.", "author" : [ { "dropping-particle" : "", "family" : "Barrios", "given" : "J. A.", "non-dropping-particle" : "", "parse-names" : false, "suffix" : "" }, { "dropping-particle" : "", "family" : "Duran", "given" : "U.", "non-dropping-particle" : "", "parse-names" : false, "suffix" : "" }, { "dropping-particle" : "", "family" : "Cano", "given" : "A.", "non-dropping-particle" : "", "parse-names" : false, "suffix" : "" }, { "dropping-particle" : "", "family" : "Cisneros-Ortiz", "given" : "M.", "non-dropping-particle" : "", "parse-names" : false, "suffix" : "" }, { "dropping-particle" : "", "family" : "Hern\u00e1ndez", "given" : "S.", "non-dropping-particle" : "", "parse-names" : false, "suffix" : "" } ], "container-title" : "Water Science and Technology", "id" : "ITEM-1", "issue" : "4", "issued" : { "date-parts" : [ [ "2017" ] ] }, "page" : "775-781", "title" : "Sludge electrooxidation as pre-treatment for anaerobic digestion", "type" : "article-journal", "volume" : "75" }, "uris" : [ "http://www.mendeley.com/documents/?uuid=d0d5b73e-1bbd-445e-b7db-46326fd82edf", "http://www.mendeley.com/documents/?uuid=197acf20-8ccc-4fc5-9267-cab1e5314b66" ] } ], "mendeley" : { "formattedCitation" : "(Barrios et al., 2017)", "manualFormatting" : "Barrios et al., (2017)", "plainTextFormattedCitation" : "(Barrios et al., 2017)", "previouslyFormattedCitation" : "(Barrios et al., 2017)" }, "properties" : {  }, "schema" : "https://github.com/citation-style-language/schema/raw/master/csl-citation.json" }</w:instrText>
      </w:r>
      <w:r w:rsidR="00293A66" w:rsidRPr="000412A1">
        <w:rPr>
          <w:sz w:val="22"/>
          <w:szCs w:val="22"/>
        </w:rPr>
        <w:fldChar w:fldCharType="separate"/>
      </w:r>
      <w:r w:rsidR="00293A66" w:rsidRPr="000412A1">
        <w:rPr>
          <w:noProof/>
          <w:sz w:val="22"/>
          <w:szCs w:val="22"/>
        </w:rPr>
        <w:t>Barrios et al. (2017)</w:t>
      </w:r>
      <w:r w:rsidR="00293A66" w:rsidRPr="000412A1">
        <w:rPr>
          <w:sz w:val="22"/>
          <w:szCs w:val="22"/>
        </w:rPr>
        <w:fldChar w:fldCharType="end"/>
      </w:r>
      <w:r w:rsidRPr="000412A1">
        <w:rPr>
          <w:sz w:val="22"/>
          <w:szCs w:val="22"/>
        </w:rPr>
        <w:t xml:space="preserve"> showed a </w:t>
      </w:r>
      <w:r w:rsidR="00EE5195" w:rsidRPr="000412A1">
        <w:rPr>
          <w:sz w:val="22"/>
          <w:szCs w:val="22"/>
        </w:rPr>
        <w:t xml:space="preserve">decrease </w:t>
      </w:r>
      <w:r w:rsidR="00A17CF0" w:rsidRPr="000412A1">
        <w:rPr>
          <w:sz w:val="22"/>
          <w:szCs w:val="22"/>
        </w:rPr>
        <w:t>in</w:t>
      </w:r>
      <w:r w:rsidRPr="000412A1">
        <w:rPr>
          <w:sz w:val="22"/>
          <w:szCs w:val="22"/>
        </w:rPr>
        <w:t xml:space="preserve"> total COD and an increase </w:t>
      </w:r>
      <w:r w:rsidR="006B57CF" w:rsidRPr="000412A1">
        <w:rPr>
          <w:sz w:val="22"/>
          <w:szCs w:val="22"/>
        </w:rPr>
        <w:t xml:space="preserve">in </w:t>
      </w:r>
      <w:r w:rsidRPr="000412A1">
        <w:rPr>
          <w:sz w:val="22"/>
          <w:szCs w:val="22"/>
        </w:rPr>
        <w:t>soluble COD</w:t>
      </w:r>
      <w:r w:rsidR="009C5872" w:rsidRPr="000412A1">
        <w:rPr>
          <w:sz w:val="22"/>
          <w:szCs w:val="22"/>
        </w:rPr>
        <w:t xml:space="preserve"> </w:t>
      </w:r>
      <w:r w:rsidR="00A17CF0" w:rsidRPr="000412A1">
        <w:rPr>
          <w:sz w:val="22"/>
          <w:szCs w:val="22"/>
        </w:rPr>
        <w:t>at optimal</w:t>
      </w:r>
      <w:r w:rsidR="009C5872" w:rsidRPr="000412A1">
        <w:rPr>
          <w:sz w:val="22"/>
          <w:szCs w:val="22"/>
        </w:rPr>
        <w:t xml:space="preserve"> </w:t>
      </w:r>
      <w:proofErr w:type="spellStart"/>
      <w:r w:rsidR="00740310" w:rsidRPr="000412A1">
        <w:rPr>
          <w:sz w:val="22"/>
          <w:szCs w:val="22"/>
        </w:rPr>
        <w:t>pretreatment</w:t>
      </w:r>
      <w:proofErr w:type="spellEnd"/>
      <w:r w:rsidR="009C5872" w:rsidRPr="000412A1">
        <w:rPr>
          <w:sz w:val="22"/>
          <w:szCs w:val="22"/>
        </w:rPr>
        <w:t xml:space="preserve"> conditions</w:t>
      </w:r>
      <w:r w:rsidRPr="000412A1">
        <w:rPr>
          <w:sz w:val="22"/>
          <w:szCs w:val="22"/>
        </w:rPr>
        <w:t xml:space="preserve"> </w:t>
      </w:r>
      <w:r w:rsidR="009C5872" w:rsidRPr="000412A1">
        <w:rPr>
          <w:sz w:val="22"/>
          <w:szCs w:val="22"/>
        </w:rPr>
        <w:t>(28.6 mA cm</w:t>
      </w:r>
      <w:r w:rsidR="00C02204" w:rsidRPr="000412A1">
        <w:rPr>
          <w:sz w:val="22"/>
          <w:szCs w:val="22"/>
          <w:vertAlign w:val="superscript"/>
        </w:rPr>
        <w:t>–</w:t>
      </w:r>
      <w:r w:rsidR="009C5872" w:rsidRPr="000412A1">
        <w:rPr>
          <w:sz w:val="22"/>
          <w:szCs w:val="22"/>
          <w:vertAlign w:val="superscript"/>
        </w:rPr>
        <w:t>2</w:t>
      </w:r>
      <w:r w:rsidR="009C5872" w:rsidRPr="000412A1">
        <w:rPr>
          <w:sz w:val="22"/>
          <w:szCs w:val="22"/>
        </w:rPr>
        <w:t>)</w:t>
      </w:r>
      <w:r w:rsidR="009B760B">
        <w:rPr>
          <w:sz w:val="22"/>
          <w:szCs w:val="22"/>
        </w:rPr>
        <w:t>,</w:t>
      </w:r>
      <w:r w:rsidR="00490A56" w:rsidRPr="000412A1">
        <w:rPr>
          <w:sz w:val="22"/>
          <w:szCs w:val="22"/>
        </w:rPr>
        <w:t xml:space="preserve"> </w:t>
      </w:r>
      <w:r w:rsidR="006B57CF" w:rsidRPr="000412A1">
        <w:rPr>
          <w:sz w:val="22"/>
          <w:szCs w:val="22"/>
        </w:rPr>
        <w:t>leading to</w:t>
      </w:r>
      <w:r w:rsidRPr="000412A1">
        <w:rPr>
          <w:sz w:val="22"/>
          <w:szCs w:val="22"/>
        </w:rPr>
        <w:t xml:space="preserve"> higher methane production (up to</w:t>
      </w:r>
      <w:r w:rsidR="00C02204" w:rsidRPr="000412A1">
        <w:rPr>
          <w:sz w:val="22"/>
          <w:szCs w:val="22"/>
        </w:rPr>
        <w:t xml:space="preserve"> </w:t>
      </w:r>
      <w:r w:rsidRPr="000412A1">
        <w:rPr>
          <w:sz w:val="22"/>
          <w:szCs w:val="22"/>
        </w:rPr>
        <w:t>76</w:t>
      </w:r>
      <w:r w:rsidR="00C02204" w:rsidRPr="000412A1">
        <w:rPr>
          <w:sz w:val="22"/>
          <w:szCs w:val="22"/>
        </w:rPr>
        <w:t>%–</w:t>
      </w:r>
      <w:r w:rsidRPr="000412A1">
        <w:rPr>
          <w:sz w:val="22"/>
          <w:szCs w:val="22"/>
        </w:rPr>
        <w:t xml:space="preserve">80%) after anaerobic digestion. In contrast, </w:t>
      </w:r>
      <w:r w:rsidRPr="000412A1">
        <w:rPr>
          <w:sz w:val="22"/>
          <w:szCs w:val="22"/>
        </w:rPr>
        <w:fldChar w:fldCharType="begin" w:fldLock="1"/>
      </w:r>
      <w:r w:rsidR="00A07857" w:rsidRPr="000412A1">
        <w:rPr>
          <w:sz w:val="22"/>
          <w:szCs w:val="22"/>
        </w:rPr>
        <w:instrText>ADDIN CSL_CITATION { "citationItems" : [ { "id" : "ITEM-1", "itemData" : { "DOI" : "10.1016/j.jenvman.2019.01.105", "ISSN" : "10958630", "abstract" : "Sludge generated after wastewater treatment represents an important challenge due to the large amounts produced and the need to adequately treat it. Anaerobic digestion is the preferred treatment process to obtain renewable energy as well as a biosolid with the potential to be reused in land application. This process generates biogas (methane and carbon dioxide) that may be used for energy co-generation. However, anaerobic digestion is limited by the hydrolysis step since bacteria need to break down organic matter and large molecules to allow conversion into biogas. In this study, electrochemical treatment of sludge is proposed to solubilize organic matter. Boron-doped diamond electrodes were used to treat waste activated sludge under different experimental conditions (current density, flow rate, time) to evaluate their influence on the solubilization of organic matter (in terms of chemical oxygen demand). The degree of solubilization ranged between 0.31 and 1.78%. Based on the results, optimal operating conditions were current density of 19.3 mA cm \u22122 , flow rate of 4 L min \u22121 , and treatment time of 30 min. Furthermore, treatment flow rate was found to play a key role in solubilization, as the process is controlled by mass transfer.", "author" : [ { "dropping-particle" : "", "family" : "P\u00e9rez-Rodr\u00edguez", "given" : "M.", "non-dropping-particle" : "", "parse-names" : false, "suffix" : "" }, { "dropping-particle" : "", "family" : "Cano", "given" : "A.", "non-dropping-particle" : "", "parse-names" : false, "suffix" : "" }, { "dropping-particle" : "", "family" : "Dur\u00e1n", "given" : "U.", "non-dropping-particle" : "", "parse-names" : false, "suffix" : "" }, { "dropping-particle" : "", "family" : "Barrios", "given" : "J. A.", "non-dropping-particle" : "", "parse-names" : false, "suffix" : "" } ], "container-title" : "Journal of Environmental Management", "id" : "ITEM-1", "issued" : { "date-parts" : [ [ "2019" ] ] }, "page" : "317-322", "title" : "Solubilization of organic matter by electrochemical treatment of sludge: Influence of operating conditions", "type" : "article-journal", "volume" : "236" }, "uris" : [ "http://www.mendeley.com/documents/?uuid=6ba7eb8a-e9fc-4f61-b7c9-8625cd0ba58f", "http://www.mendeley.com/documents/?uuid=c662793f-2615-4ae2-acce-e249c46e339f", "http://www.mendeley.com/documents/?uuid=b827c973-f301-4806-be0a-7588099c6c27" ] } ], "mendeley" : { "formattedCitation" : "(P\u00e9rez-Rodr\u00edguez et al., 2019)", "manualFormatting" : "P\u00e9rez-Rodr\u00edguez et al. (2019)", "plainTextFormattedCitation" : "(P\u00e9rez-Rodr\u00edguez et al., 2019)", "previouslyFormattedCitation" : "(P\u00e9rez-Rodr\u00edguez et al., 2019)" }, "properties" : {  }, "schema" : "https://github.com/citation-style-language/schema/raw/master/csl-citation.json" }</w:instrText>
      </w:r>
      <w:r w:rsidRPr="000412A1">
        <w:rPr>
          <w:sz w:val="22"/>
          <w:szCs w:val="22"/>
        </w:rPr>
        <w:fldChar w:fldCharType="separate"/>
      </w:r>
      <w:r w:rsidR="00FD4989" w:rsidRPr="000412A1">
        <w:rPr>
          <w:noProof/>
          <w:sz w:val="22"/>
          <w:szCs w:val="22"/>
        </w:rPr>
        <w:t>Pérez-Rodríguez et al.</w:t>
      </w:r>
      <w:r w:rsidR="00083369" w:rsidRPr="000412A1">
        <w:rPr>
          <w:noProof/>
          <w:sz w:val="22"/>
          <w:szCs w:val="22"/>
        </w:rPr>
        <w:t xml:space="preserve"> </w:t>
      </w:r>
      <w:r w:rsidR="00FD4989" w:rsidRPr="000412A1">
        <w:rPr>
          <w:noProof/>
          <w:sz w:val="22"/>
          <w:szCs w:val="22"/>
        </w:rPr>
        <w:t>(2019)</w:t>
      </w:r>
      <w:r w:rsidRPr="000412A1">
        <w:rPr>
          <w:sz w:val="22"/>
          <w:szCs w:val="22"/>
        </w:rPr>
        <w:fldChar w:fldCharType="end"/>
      </w:r>
      <w:r w:rsidRPr="000412A1">
        <w:rPr>
          <w:sz w:val="22"/>
          <w:szCs w:val="22"/>
        </w:rPr>
        <w:t xml:space="preserve"> </w:t>
      </w:r>
      <w:r w:rsidR="001D1C0B" w:rsidRPr="000412A1">
        <w:rPr>
          <w:sz w:val="22"/>
          <w:szCs w:val="22"/>
        </w:rPr>
        <w:t xml:space="preserve">reported that </w:t>
      </w:r>
      <w:r w:rsidRPr="000412A1">
        <w:rPr>
          <w:sz w:val="22"/>
          <w:szCs w:val="22"/>
        </w:rPr>
        <w:t xml:space="preserve">different operating conditions </w:t>
      </w:r>
      <w:r w:rsidR="0037026D" w:rsidRPr="000412A1">
        <w:rPr>
          <w:sz w:val="22"/>
          <w:szCs w:val="22"/>
        </w:rPr>
        <w:t xml:space="preserve">applied </w:t>
      </w:r>
      <w:r w:rsidRPr="000412A1">
        <w:rPr>
          <w:sz w:val="22"/>
          <w:szCs w:val="22"/>
        </w:rPr>
        <w:t>for sludge electr</w:t>
      </w:r>
      <w:r w:rsidR="001E7DCA" w:rsidRPr="000412A1">
        <w:rPr>
          <w:sz w:val="22"/>
          <w:szCs w:val="22"/>
        </w:rPr>
        <w:t>o-o</w:t>
      </w:r>
      <w:r w:rsidRPr="000412A1">
        <w:rPr>
          <w:sz w:val="22"/>
          <w:szCs w:val="22"/>
        </w:rPr>
        <w:t>xidation (current density</w:t>
      </w:r>
      <w:r w:rsidR="009C5872" w:rsidRPr="000412A1">
        <w:rPr>
          <w:sz w:val="22"/>
          <w:szCs w:val="22"/>
        </w:rPr>
        <w:t xml:space="preserve"> </w:t>
      </w:r>
      <w:r w:rsidR="00A17CF0" w:rsidRPr="000412A1">
        <w:rPr>
          <w:sz w:val="22"/>
          <w:szCs w:val="22"/>
        </w:rPr>
        <w:t>~</w:t>
      </w:r>
      <w:r w:rsidR="009C5872" w:rsidRPr="000412A1">
        <w:rPr>
          <w:sz w:val="22"/>
          <w:szCs w:val="22"/>
        </w:rPr>
        <w:t>28.6 mA cm</w:t>
      </w:r>
      <w:r w:rsidR="00C02204" w:rsidRPr="000412A1">
        <w:rPr>
          <w:sz w:val="22"/>
          <w:szCs w:val="22"/>
          <w:vertAlign w:val="superscript"/>
        </w:rPr>
        <w:t>–</w:t>
      </w:r>
      <w:r w:rsidR="009C5872" w:rsidRPr="000412A1">
        <w:rPr>
          <w:sz w:val="22"/>
          <w:szCs w:val="22"/>
          <w:vertAlign w:val="superscript"/>
        </w:rPr>
        <w:t>2</w:t>
      </w:r>
      <w:r w:rsidR="00C02204" w:rsidRPr="000412A1">
        <w:rPr>
          <w:sz w:val="22"/>
          <w:szCs w:val="22"/>
          <w:vertAlign w:val="superscript"/>
        </w:rPr>
        <w:t xml:space="preserve"> </w:t>
      </w:r>
      <w:r w:rsidR="00374E3D" w:rsidRPr="000412A1">
        <w:rPr>
          <w:sz w:val="22"/>
          <w:szCs w:val="22"/>
        </w:rPr>
        <w:t>for 30 min</w:t>
      </w:r>
      <w:r w:rsidRPr="000412A1">
        <w:rPr>
          <w:sz w:val="22"/>
          <w:szCs w:val="22"/>
        </w:rPr>
        <w:t>) resulted in maxim</w:t>
      </w:r>
      <w:r w:rsidR="009B760B">
        <w:rPr>
          <w:sz w:val="22"/>
          <w:szCs w:val="22"/>
        </w:rPr>
        <w:t>al</w:t>
      </w:r>
      <w:r w:rsidRPr="000412A1">
        <w:rPr>
          <w:sz w:val="22"/>
          <w:szCs w:val="22"/>
        </w:rPr>
        <w:t xml:space="preserve"> solubilisation of</w:t>
      </w:r>
      <w:r w:rsidR="001E0387" w:rsidRPr="000412A1">
        <w:rPr>
          <w:sz w:val="22"/>
          <w:szCs w:val="22"/>
        </w:rPr>
        <w:t xml:space="preserve"> just</w:t>
      </w:r>
      <w:r w:rsidRPr="000412A1">
        <w:rPr>
          <w:sz w:val="22"/>
          <w:szCs w:val="22"/>
        </w:rPr>
        <w:t xml:space="preserve"> 1.78%.</w:t>
      </w:r>
      <w:r w:rsidR="00083369" w:rsidRPr="000412A1">
        <w:rPr>
          <w:sz w:val="22"/>
          <w:szCs w:val="22"/>
        </w:rPr>
        <w:t xml:space="preserve"> </w:t>
      </w:r>
    </w:p>
    <w:p w14:paraId="72A36BE9" w14:textId="5C5E545F" w:rsidR="000B7A8C" w:rsidRPr="000412A1" w:rsidRDefault="00714990" w:rsidP="00323AED">
      <w:pPr>
        <w:tabs>
          <w:tab w:val="left" w:pos="425"/>
        </w:tabs>
        <w:spacing w:line="480" w:lineRule="auto"/>
        <w:rPr>
          <w:sz w:val="22"/>
          <w:szCs w:val="22"/>
        </w:rPr>
      </w:pPr>
      <w:r>
        <w:rPr>
          <w:sz w:val="22"/>
          <w:szCs w:val="22"/>
        </w:rPr>
        <w:t>The r</w:t>
      </w:r>
      <w:r w:rsidR="00F416B8" w:rsidRPr="000412A1">
        <w:rPr>
          <w:sz w:val="22"/>
          <w:szCs w:val="22"/>
        </w:rPr>
        <w:t xml:space="preserve">esults from the present work </w:t>
      </w:r>
      <w:r w:rsidR="00323AED" w:rsidRPr="000412A1">
        <w:rPr>
          <w:sz w:val="22"/>
          <w:szCs w:val="22"/>
        </w:rPr>
        <w:t>differ</w:t>
      </w:r>
      <w:r w:rsidR="009B760B">
        <w:rPr>
          <w:sz w:val="22"/>
          <w:szCs w:val="22"/>
        </w:rPr>
        <w:t>ed</w:t>
      </w:r>
      <w:r w:rsidR="001E0387" w:rsidRPr="000412A1">
        <w:rPr>
          <w:sz w:val="22"/>
          <w:szCs w:val="22"/>
        </w:rPr>
        <w:t xml:space="preserve"> </w:t>
      </w:r>
      <w:r w:rsidR="00323AED" w:rsidRPr="000412A1">
        <w:rPr>
          <w:sz w:val="22"/>
          <w:szCs w:val="22"/>
        </w:rPr>
        <w:t>(</w:t>
      </w:r>
      <w:r w:rsidR="001E0387" w:rsidRPr="000412A1">
        <w:rPr>
          <w:sz w:val="22"/>
          <w:szCs w:val="22"/>
        </w:rPr>
        <w:t xml:space="preserve">with </w:t>
      </w:r>
      <w:r w:rsidR="009B760B" w:rsidRPr="000412A1">
        <w:rPr>
          <w:sz w:val="22"/>
          <w:szCs w:val="22"/>
        </w:rPr>
        <w:t xml:space="preserve">lower </w:t>
      </w:r>
      <w:r w:rsidR="001E0387" w:rsidRPr="000412A1">
        <w:rPr>
          <w:sz w:val="22"/>
          <w:szCs w:val="22"/>
        </w:rPr>
        <w:t>values</w:t>
      </w:r>
      <w:r w:rsidR="00323AED" w:rsidRPr="000412A1">
        <w:rPr>
          <w:sz w:val="22"/>
          <w:szCs w:val="22"/>
        </w:rPr>
        <w:t xml:space="preserve">) </w:t>
      </w:r>
      <w:r w:rsidR="00F22066" w:rsidRPr="000412A1">
        <w:rPr>
          <w:sz w:val="22"/>
          <w:szCs w:val="22"/>
        </w:rPr>
        <w:t xml:space="preserve">from </w:t>
      </w:r>
      <w:r w:rsidR="001E0387" w:rsidRPr="000412A1">
        <w:rPr>
          <w:sz w:val="22"/>
          <w:szCs w:val="22"/>
        </w:rPr>
        <w:t xml:space="preserve">those reported by </w:t>
      </w:r>
      <w:r w:rsidR="00323AED" w:rsidRPr="000412A1">
        <w:rPr>
          <w:sz w:val="22"/>
          <w:szCs w:val="22"/>
        </w:rPr>
        <w:t>other authors</w:t>
      </w:r>
      <w:r w:rsidR="009B760B">
        <w:rPr>
          <w:sz w:val="22"/>
          <w:szCs w:val="22"/>
        </w:rPr>
        <w:t>,</w:t>
      </w:r>
      <w:r w:rsidR="00323AED" w:rsidRPr="000412A1">
        <w:rPr>
          <w:sz w:val="22"/>
          <w:szCs w:val="22"/>
        </w:rPr>
        <w:t xml:space="preserve"> </w:t>
      </w:r>
      <w:r w:rsidR="00F416B8" w:rsidRPr="000412A1">
        <w:rPr>
          <w:sz w:val="22"/>
          <w:szCs w:val="22"/>
        </w:rPr>
        <w:t>possibly attributed to</w:t>
      </w:r>
      <w:r w:rsidR="001E0387" w:rsidRPr="000412A1">
        <w:rPr>
          <w:sz w:val="22"/>
          <w:szCs w:val="22"/>
        </w:rPr>
        <w:t xml:space="preserve"> </w:t>
      </w:r>
      <w:r w:rsidR="00323AED" w:rsidRPr="000412A1">
        <w:rPr>
          <w:sz w:val="22"/>
          <w:szCs w:val="22"/>
        </w:rPr>
        <w:t>lower current density and shorter</w:t>
      </w:r>
      <w:r w:rsidR="001E0387" w:rsidRPr="000412A1">
        <w:rPr>
          <w:sz w:val="22"/>
          <w:szCs w:val="22"/>
        </w:rPr>
        <w:t xml:space="preserve"> treatment</w:t>
      </w:r>
      <w:r w:rsidR="00323AED" w:rsidRPr="000412A1">
        <w:rPr>
          <w:sz w:val="22"/>
          <w:szCs w:val="22"/>
        </w:rPr>
        <w:t xml:space="preserve"> </w:t>
      </w:r>
      <w:r w:rsidR="008753B5" w:rsidRPr="000412A1">
        <w:rPr>
          <w:sz w:val="22"/>
          <w:szCs w:val="22"/>
        </w:rPr>
        <w:t xml:space="preserve">time </w:t>
      </w:r>
      <w:r w:rsidR="00323AED" w:rsidRPr="000412A1">
        <w:rPr>
          <w:sz w:val="22"/>
          <w:szCs w:val="22"/>
        </w:rPr>
        <w:t xml:space="preserve">applied. </w:t>
      </w:r>
      <w:r w:rsidR="007148AC" w:rsidRPr="000412A1">
        <w:rPr>
          <w:sz w:val="22"/>
          <w:szCs w:val="22"/>
        </w:rPr>
        <w:t>C</w:t>
      </w:r>
      <w:r w:rsidR="009C5872" w:rsidRPr="000412A1">
        <w:rPr>
          <w:sz w:val="22"/>
          <w:szCs w:val="22"/>
        </w:rPr>
        <w:t xml:space="preserve">urrent density </w:t>
      </w:r>
      <w:r w:rsidR="00374E3D" w:rsidRPr="000412A1">
        <w:rPr>
          <w:sz w:val="22"/>
          <w:szCs w:val="22"/>
        </w:rPr>
        <w:t>is</w:t>
      </w:r>
      <w:r w:rsidR="009C5872" w:rsidRPr="000412A1">
        <w:rPr>
          <w:sz w:val="22"/>
          <w:szCs w:val="22"/>
        </w:rPr>
        <w:t xml:space="preserve"> directly associated </w:t>
      </w:r>
      <w:r w:rsidR="00374E3D" w:rsidRPr="000412A1">
        <w:rPr>
          <w:sz w:val="22"/>
          <w:szCs w:val="22"/>
        </w:rPr>
        <w:t>with</w:t>
      </w:r>
      <w:r w:rsidR="009C5872" w:rsidRPr="000412A1">
        <w:rPr>
          <w:sz w:val="22"/>
          <w:szCs w:val="22"/>
        </w:rPr>
        <w:t xml:space="preserve"> the </w:t>
      </w:r>
      <w:r w:rsidR="00825548" w:rsidRPr="000412A1">
        <w:rPr>
          <w:sz w:val="22"/>
          <w:szCs w:val="22"/>
        </w:rPr>
        <w:t xml:space="preserve">number </w:t>
      </w:r>
      <w:r w:rsidR="009C5872" w:rsidRPr="000412A1">
        <w:rPr>
          <w:sz w:val="22"/>
          <w:szCs w:val="22"/>
        </w:rPr>
        <w:t xml:space="preserve">of </w:t>
      </w:r>
      <w:r w:rsidR="009B760B" w:rsidRPr="000412A1">
        <w:rPr>
          <w:sz w:val="22"/>
          <w:szCs w:val="22"/>
        </w:rPr>
        <w:t xml:space="preserve">generated </w:t>
      </w:r>
      <w:r w:rsidR="009C5872" w:rsidRPr="000412A1">
        <w:rPr>
          <w:sz w:val="22"/>
          <w:szCs w:val="22"/>
        </w:rPr>
        <w:t xml:space="preserve">hydroxyl radicals </w:t>
      </w:r>
      <w:r w:rsidR="00374E3D" w:rsidRPr="000412A1">
        <w:rPr>
          <w:sz w:val="22"/>
          <w:szCs w:val="22"/>
        </w:rPr>
        <w:t>(t</w:t>
      </w:r>
      <w:r w:rsidR="00F416B8" w:rsidRPr="000412A1">
        <w:rPr>
          <w:sz w:val="22"/>
          <w:szCs w:val="22"/>
        </w:rPr>
        <w:t>hat</w:t>
      </w:r>
      <w:r w:rsidR="00374E3D" w:rsidRPr="000412A1">
        <w:rPr>
          <w:sz w:val="22"/>
          <w:szCs w:val="22"/>
        </w:rPr>
        <w:t xml:space="preserve"> </w:t>
      </w:r>
      <w:r w:rsidR="009C5872" w:rsidRPr="000412A1">
        <w:rPr>
          <w:sz w:val="22"/>
          <w:szCs w:val="22"/>
        </w:rPr>
        <w:t>react with organic matter</w:t>
      </w:r>
      <w:r w:rsidR="00374E3D" w:rsidRPr="000412A1">
        <w:rPr>
          <w:sz w:val="22"/>
          <w:szCs w:val="22"/>
        </w:rPr>
        <w:t>)</w:t>
      </w:r>
      <w:r w:rsidR="007148AC" w:rsidRPr="000412A1">
        <w:rPr>
          <w:sz w:val="22"/>
          <w:szCs w:val="22"/>
        </w:rPr>
        <w:t xml:space="preserve">. This parameter </w:t>
      </w:r>
      <w:r w:rsidR="0037723D" w:rsidRPr="000412A1">
        <w:rPr>
          <w:sz w:val="22"/>
          <w:szCs w:val="22"/>
        </w:rPr>
        <w:t>and</w:t>
      </w:r>
      <w:r w:rsidR="00374E3D" w:rsidRPr="000412A1">
        <w:rPr>
          <w:sz w:val="22"/>
          <w:szCs w:val="22"/>
        </w:rPr>
        <w:t xml:space="preserve"> </w:t>
      </w:r>
      <w:proofErr w:type="spellStart"/>
      <w:r w:rsidR="00740310" w:rsidRPr="000412A1">
        <w:rPr>
          <w:sz w:val="22"/>
          <w:szCs w:val="22"/>
        </w:rPr>
        <w:t>pretreatment</w:t>
      </w:r>
      <w:proofErr w:type="spellEnd"/>
      <w:r w:rsidR="00374E3D" w:rsidRPr="000412A1">
        <w:rPr>
          <w:sz w:val="22"/>
          <w:szCs w:val="22"/>
        </w:rPr>
        <w:t xml:space="preserve"> </w:t>
      </w:r>
      <w:r w:rsidR="0037723D" w:rsidRPr="000412A1">
        <w:rPr>
          <w:sz w:val="22"/>
          <w:szCs w:val="22"/>
        </w:rPr>
        <w:t xml:space="preserve">time </w:t>
      </w:r>
      <w:r w:rsidR="0083378F" w:rsidRPr="000412A1">
        <w:rPr>
          <w:sz w:val="22"/>
          <w:szCs w:val="22"/>
        </w:rPr>
        <w:t xml:space="preserve">are </w:t>
      </w:r>
      <w:r w:rsidR="007148AC" w:rsidRPr="000412A1">
        <w:rPr>
          <w:sz w:val="22"/>
          <w:szCs w:val="22"/>
        </w:rPr>
        <w:t>well-</w:t>
      </w:r>
      <w:r w:rsidR="0083378F" w:rsidRPr="000412A1">
        <w:rPr>
          <w:sz w:val="22"/>
          <w:szCs w:val="22"/>
        </w:rPr>
        <w:t>known</w:t>
      </w:r>
      <w:r w:rsidR="0037723D" w:rsidRPr="000412A1">
        <w:rPr>
          <w:sz w:val="22"/>
          <w:szCs w:val="22"/>
        </w:rPr>
        <w:t xml:space="preserve"> factors</w:t>
      </w:r>
      <w:r w:rsidR="0083378F" w:rsidRPr="000412A1">
        <w:rPr>
          <w:sz w:val="22"/>
          <w:szCs w:val="22"/>
        </w:rPr>
        <w:t xml:space="preserve"> </w:t>
      </w:r>
      <w:r w:rsidR="0037723D" w:rsidRPr="000412A1">
        <w:rPr>
          <w:sz w:val="22"/>
          <w:szCs w:val="22"/>
        </w:rPr>
        <w:t xml:space="preserve">for </w:t>
      </w:r>
      <w:r w:rsidR="00323AED" w:rsidRPr="000412A1">
        <w:rPr>
          <w:sz w:val="22"/>
          <w:szCs w:val="22"/>
        </w:rPr>
        <w:t>improv</w:t>
      </w:r>
      <w:r w:rsidR="0037723D" w:rsidRPr="000412A1">
        <w:rPr>
          <w:sz w:val="22"/>
          <w:szCs w:val="22"/>
        </w:rPr>
        <w:t>ing</w:t>
      </w:r>
      <w:r w:rsidR="00374E3D" w:rsidRPr="000412A1">
        <w:rPr>
          <w:sz w:val="22"/>
          <w:szCs w:val="22"/>
        </w:rPr>
        <w:t xml:space="preserve"> solubilisation, </w:t>
      </w:r>
      <w:r w:rsidR="007148AC" w:rsidRPr="000412A1">
        <w:rPr>
          <w:sz w:val="22"/>
          <w:szCs w:val="22"/>
        </w:rPr>
        <w:t xml:space="preserve">but </w:t>
      </w:r>
      <w:r w:rsidR="0083378F" w:rsidRPr="000412A1">
        <w:rPr>
          <w:sz w:val="22"/>
          <w:szCs w:val="22"/>
        </w:rPr>
        <w:t xml:space="preserve">any </w:t>
      </w:r>
      <w:r w:rsidR="00374E3D" w:rsidRPr="000412A1">
        <w:rPr>
          <w:sz w:val="22"/>
          <w:szCs w:val="22"/>
        </w:rPr>
        <w:t xml:space="preserve">increase </w:t>
      </w:r>
      <w:r w:rsidR="0083378F" w:rsidRPr="000412A1">
        <w:rPr>
          <w:sz w:val="22"/>
          <w:szCs w:val="22"/>
        </w:rPr>
        <w:t xml:space="preserve">in these two parameters </w:t>
      </w:r>
      <w:r w:rsidR="007148AC" w:rsidRPr="000412A1">
        <w:rPr>
          <w:sz w:val="22"/>
          <w:szCs w:val="22"/>
        </w:rPr>
        <w:t>also translates in</w:t>
      </w:r>
      <w:r w:rsidR="009B760B">
        <w:rPr>
          <w:sz w:val="22"/>
          <w:szCs w:val="22"/>
        </w:rPr>
        <w:t>to</w:t>
      </w:r>
      <w:r w:rsidR="007148AC" w:rsidRPr="000412A1">
        <w:rPr>
          <w:sz w:val="22"/>
          <w:szCs w:val="22"/>
        </w:rPr>
        <w:t xml:space="preserve"> </w:t>
      </w:r>
      <w:r w:rsidR="001D1C0B" w:rsidRPr="000412A1">
        <w:rPr>
          <w:sz w:val="22"/>
          <w:szCs w:val="22"/>
        </w:rPr>
        <w:t>a</w:t>
      </w:r>
      <w:r w:rsidR="00F22066" w:rsidRPr="000412A1">
        <w:rPr>
          <w:sz w:val="22"/>
          <w:szCs w:val="22"/>
        </w:rPr>
        <w:t xml:space="preserve"> boost for</w:t>
      </w:r>
      <w:r w:rsidR="001D1C0B" w:rsidRPr="000412A1">
        <w:rPr>
          <w:sz w:val="22"/>
          <w:szCs w:val="22"/>
        </w:rPr>
        <w:t xml:space="preserve"> </w:t>
      </w:r>
      <w:r w:rsidR="00374E3D" w:rsidRPr="000412A1">
        <w:rPr>
          <w:sz w:val="22"/>
          <w:szCs w:val="22"/>
        </w:rPr>
        <w:t xml:space="preserve">energy </w:t>
      </w:r>
      <w:r w:rsidR="0083378F" w:rsidRPr="000412A1">
        <w:rPr>
          <w:sz w:val="22"/>
          <w:szCs w:val="22"/>
        </w:rPr>
        <w:t>demand</w:t>
      </w:r>
      <w:r w:rsidR="00F416B8" w:rsidRPr="000412A1">
        <w:rPr>
          <w:sz w:val="22"/>
          <w:szCs w:val="22"/>
        </w:rPr>
        <w:t>,</w:t>
      </w:r>
      <w:r w:rsidR="00374E3D" w:rsidRPr="000412A1">
        <w:rPr>
          <w:sz w:val="22"/>
          <w:szCs w:val="22"/>
        </w:rPr>
        <w:t xml:space="preserve"> </w:t>
      </w:r>
      <w:r w:rsidR="0083378F" w:rsidRPr="000412A1">
        <w:rPr>
          <w:sz w:val="22"/>
          <w:szCs w:val="22"/>
        </w:rPr>
        <w:t>there</w:t>
      </w:r>
      <w:r w:rsidR="009B760B">
        <w:rPr>
          <w:sz w:val="22"/>
          <w:szCs w:val="22"/>
        </w:rPr>
        <w:t>by</w:t>
      </w:r>
      <w:r w:rsidR="0083378F" w:rsidRPr="000412A1">
        <w:rPr>
          <w:sz w:val="22"/>
          <w:szCs w:val="22"/>
        </w:rPr>
        <w:t xml:space="preserve"> </w:t>
      </w:r>
      <w:r w:rsidR="00374E3D" w:rsidRPr="000412A1">
        <w:rPr>
          <w:sz w:val="22"/>
          <w:szCs w:val="22"/>
        </w:rPr>
        <w:t>reduc</w:t>
      </w:r>
      <w:r w:rsidR="00F416B8" w:rsidRPr="000412A1">
        <w:rPr>
          <w:sz w:val="22"/>
          <w:szCs w:val="22"/>
        </w:rPr>
        <w:t>ing</w:t>
      </w:r>
      <w:r w:rsidR="00374E3D" w:rsidRPr="000412A1">
        <w:rPr>
          <w:sz w:val="22"/>
          <w:szCs w:val="22"/>
        </w:rPr>
        <w:t xml:space="preserve"> the </w:t>
      </w:r>
      <w:r w:rsidR="0083378F" w:rsidRPr="000412A1">
        <w:rPr>
          <w:sz w:val="22"/>
          <w:szCs w:val="22"/>
        </w:rPr>
        <w:t xml:space="preserve">technical </w:t>
      </w:r>
      <w:r w:rsidR="00374E3D" w:rsidRPr="000412A1">
        <w:rPr>
          <w:sz w:val="22"/>
          <w:szCs w:val="22"/>
        </w:rPr>
        <w:t xml:space="preserve">feasibility of </w:t>
      </w:r>
      <w:r w:rsidR="0083378F" w:rsidRPr="000412A1">
        <w:rPr>
          <w:sz w:val="22"/>
          <w:szCs w:val="22"/>
        </w:rPr>
        <w:t xml:space="preserve">this </w:t>
      </w:r>
      <w:r w:rsidR="00374E3D" w:rsidRPr="000412A1">
        <w:rPr>
          <w:sz w:val="22"/>
          <w:szCs w:val="22"/>
        </w:rPr>
        <w:t xml:space="preserve">process. </w:t>
      </w:r>
    </w:p>
    <w:p w14:paraId="299EB063" w14:textId="77777777" w:rsidR="00374E3D" w:rsidRPr="000412A1" w:rsidRDefault="00374E3D" w:rsidP="000B7A8C">
      <w:pPr>
        <w:tabs>
          <w:tab w:val="left" w:pos="425"/>
        </w:tabs>
        <w:spacing w:line="480" w:lineRule="auto"/>
        <w:jc w:val="both"/>
        <w:rPr>
          <w:sz w:val="22"/>
          <w:szCs w:val="22"/>
        </w:rPr>
      </w:pPr>
    </w:p>
    <w:p w14:paraId="008CAD85" w14:textId="49D51F86" w:rsidR="005F5DC4" w:rsidRPr="000412A1" w:rsidRDefault="000B7A8C" w:rsidP="005F5DC4">
      <w:pPr>
        <w:tabs>
          <w:tab w:val="left" w:pos="425"/>
        </w:tabs>
        <w:spacing w:line="480" w:lineRule="auto"/>
        <w:jc w:val="both"/>
        <w:rPr>
          <w:sz w:val="22"/>
          <w:szCs w:val="22"/>
        </w:rPr>
      </w:pPr>
      <w:r w:rsidRPr="000412A1">
        <w:rPr>
          <w:sz w:val="22"/>
          <w:szCs w:val="22"/>
        </w:rPr>
        <w:t>Electro</w:t>
      </w:r>
      <w:r w:rsidR="0037723D" w:rsidRPr="000412A1">
        <w:rPr>
          <w:sz w:val="22"/>
          <w:szCs w:val="22"/>
        </w:rPr>
        <w:t>-</w:t>
      </w:r>
      <w:r w:rsidRPr="000412A1">
        <w:rPr>
          <w:sz w:val="22"/>
          <w:szCs w:val="22"/>
        </w:rPr>
        <w:t xml:space="preserve">oxidation </w:t>
      </w:r>
      <w:proofErr w:type="spellStart"/>
      <w:r w:rsidR="00740310" w:rsidRPr="000412A1">
        <w:rPr>
          <w:sz w:val="22"/>
          <w:szCs w:val="22"/>
        </w:rPr>
        <w:t>pretreatment</w:t>
      </w:r>
      <w:proofErr w:type="spellEnd"/>
      <w:r w:rsidRPr="000412A1">
        <w:rPr>
          <w:sz w:val="22"/>
          <w:szCs w:val="22"/>
        </w:rPr>
        <w:t xml:space="preserve"> could contribute to the release of soluble organic matter from sludge </w:t>
      </w:r>
      <w:r w:rsidR="00990A08" w:rsidRPr="000412A1">
        <w:rPr>
          <w:sz w:val="22"/>
          <w:szCs w:val="22"/>
        </w:rPr>
        <w:t>without</w:t>
      </w:r>
      <w:r w:rsidRPr="000412A1">
        <w:rPr>
          <w:sz w:val="22"/>
          <w:szCs w:val="22"/>
        </w:rPr>
        <w:t xml:space="preserve"> </w:t>
      </w:r>
      <w:r w:rsidR="00683E0C" w:rsidRPr="000412A1">
        <w:rPr>
          <w:sz w:val="22"/>
          <w:szCs w:val="22"/>
        </w:rPr>
        <w:t xml:space="preserve">affecting </w:t>
      </w:r>
      <w:r w:rsidR="005F5DC4" w:rsidRPr="000412A1">
        <w:rPr>
          <w:sz w:val="22"/>
          <w:szCs w:val="22"/>
        </w:rPr>
        <w:t xml:space="preserve">the total content of </w:t>
      </w:r>
      <w:r w:rsidRPr="000412A1">
        <w:rPr>
          <w:sz w:val="22"/>
          <w:szCs w:val="22"/>
        </w:rPr>
        <w:t xml:space="preserve">organic compounds under the test conditions. </w:t>
      </w:r>
      <w:r w:rsidR="009B760B">
        <w:rPr>
          <w:sz w:val="22"/>
          <w:szCs w:val="22"/>
        </w:rPr>
        <w:t>C</w:t>
      </w:r>
      <w:r w:rsidR="00990A08" w:rsidRPr="000412A1">
        <w:rPr>
          <w:sz w:val="22"/>
          <w:szCs w:val="22"/>
        </w:rPr>
        <w:t xml:space="preserve">omplex </w:t>
      </w:r>
      <w:r w:rsidRPr="000412A1">
        <w:rPr>
          <w:sz w:val="22"/>
          <w:szCs w:val="22"/>
        </w:rPr>
        <w:t>organic molecules in waste</w:t>
      </w:r>
      <w:r w:rsidR="009B760B">
        <w:rPr>
          <w:sz w:val="22"/>
          <w:szCs w:val="22"/>
        </w:rPr>
        <w:t xml:space="preserve"> </w:t>
      </w:r>
      <w:r w:rsidRPr="000412A1">
        <w:rPr>
          <w:sz w:val="22"/>
          <w:szCs w:val="22"/>
        </w:rPr>
        <w:t>are converted into simpler forms that become easily accessible for acetogen</w:t>
      </w:r>
      <w:r w:rsidR="00293A66" w:rsidRPr="000412A1">
        <w:rPr>
          <w:sz w:val="22"/>
          <w:szCs w:val="22"/>
        </w:rPr>
        <w:t xml:space="preserve">ic </w:t>
      </w:r>
      <w:r w:rsidR="007148AC" w:rsidRPr="000412A1">
        <w:rPr>
          <w:sz w:val="22"/>
          <w:szCs w:val="22"/>
        </w:rPr>
        <w:t>bacteria</w:t>
      </w:r>
      <w:r w:rsidRPr="000412A1">
        <w:rPr>
          <w:sz w:val="22"/>
          <w:szCs w:val="22"/>
        </w:rPr>
        <w:t xml:space="preserve"> to generate VFA</w:t>
      </w:r>
      <w:r w:rsidR="0012077A" w:rsidRPr="000412A1">
        <w:rPr>
          <w:sz w:val="22"/>
          <w:szCs w:val="22"/>
        </w:rPr>
        <w:t>s</w:t>
      </w:r>
      <w:r w:rsidR="00692544" w:rsidRPr="000412A1">
        <w:rPr>
          <w:sz w:val="20"/>
          <w:szCs w:val="22"/>
        </w:rPr>
        <w:t>.</w:t>
      </w:r>
      <w:r w:rsidRPr="000412A1">
        <w:rPr>
          <w:sz w:val="22"/>
          <w:szCs w:val="22"/>
        </w:rPr>
        <w:t xml:space="preserve"> </w:t>
      </w:r>
      <w:r w:rsidR="00CB231F" w:rsidRPr="000412A1">
        <w:rPr>
          <w:sz w:val="22"/>
          <w:szCs w:val="22"/>
        </w:rPr>
        <w:t>Fig</w:t>
      </w:r>
      <w:r w:rsidR="009B760B">
        <w:rPr>
          <w:sz w:val="22"/>
          <w:szCs w:val="22"/>
        </w:rPr>
        <w:t>ure</w:t>
      </w:r>
      <w:r w:rsidR="00CB231F" w:rsidRPr="000412A1">
        <w:rPr>
          <w:sz w:val="22"/>
          <w:szCs w:val="22"/>
        </w:rPr>
        <w:t xml:space="preserve"> 2 </w:t>
      </w:r>
      <w:r w:rsidRPr="000412A1">
        <w:rPr>
          <w:sz w:val="22"/>
          <w:szCs w:val="22"/>
        </w:rPr>
        <w:t xml:space="preserve">shows </w:t>
      </w:r>
      <w:r w:rsidR="005F5DC4" w:rsidRPr="000412A1">
        <w:rPr>
          <w:sz w:val="22"/>
          <w:szCs w:val="22"/>
        </w:rPr>
        <w:t>the</w:t>
      </w:r>
      <w:r w:rsidR="009B760B" w:rsidRPr="009B760B">
        <w:rPr>
          <w:sz w:val="22"/>
          <w:szCs w:val="22"/>
        </w:rPr>
        <w:t xml:space="preserve"> </w:t>
      </w:r>
      <w:r w:rsidR="009B760B" w:rsidRPr="000412A1">
        <w:rPr>
          <w:sz w:val="22"/>
          <w:szCs w:val="22"/>
        </w:rPr>
        <w:t>obtained</w:t>
      </w:r>
      <w:r w:rsidR="005F5DC4" w:rsidRPr="000412A1">
        <w:rPr>
          <w:sz w:val="22"/>
          <w:szCs w:val="22"/>
        </w:rPr>
        <w:t xml:space="preserve"> increase in</w:t>
      </w:r>
      <w:r w:rsidR="00990A08" w:rsidRPr="000412A1">
        <w:rPr>
          <w:sz w:val="22"/>
          <w:szCs w:val="22"/>
        </w:rPr>
        <w:t xml:space="preserve"> </w:t>
      </w:r>
      <w:r w:rsidRPr="000412A1">
        <w:rPr>
          <w:sz w:val="22"/>
          <w:szCs w:val="22"/>
        </w:rPr>
        <w:t xml:space="preserve">VFA concentration after </w:t>
      </w:r>
      <w:proofErr w:type="spellStart"/>
      <w:r w:rsidRPr="000412A1">
        <w:rPr>
          <w:sz w:val="22"/>
          <w:szCs w:val="22"/>
        </w:rPr>
        <w:t>pretreatment</w:t>
      </w:r>
      <w:proofErr w:type="spellEnd"/>
      <w:r w:rsidR="009B760B">
        <w:rPr>
          <w:sz w:val="22"/>
          <w:szCs w:val="22"/>
        </w:rPr>
        <w:t>,</w:t>
      </w:r>
      <w:r w:rsidRPr="000412A1">
        <w:rPr>
          <w:sz w:val="22"/>
          <w:szCs w:val="22"/>
        </w:rPr>
        <w:t xml:space="preserve"> </w:t>
      </w:r>
      <w:r w:rsidR="0012077A" w:rsidRPr="000412A1">
        <w:rPr>
          <w:sz w:val="22"/>
          <w:szCs w:val="22"/>
        </w:rPr>
        <w:t xml:space="preserve">which </w:t>
      </w:r>
      <w:r w:rsidR="003D701B" w:rsidRPr="000412A1">
        <w:rPr>
          <w:sz w:val="22"/>
          <w:szCs w:val="22"/>
        </w:rPr>
        <w:t>wa</w:t>
      </w:r>
      <w:r w:rsidR="0012077A" w:rsidRPr="000412A1">
        <w:rPr>
          <w:sz w:val="22"/>
          <w:szCs w:val="22"/>
        </w:rPr>
        <w:t xml:space="preserve">s also </w:t>
      </w:r>
      <w:r w:rsidR="001D1C0B" w:rsidRPr="000412A1">
        <w:rPr>
          <w:sz w:val="22"/>
          <w:szCs w:val="22"/>
        </w:rPr>
        <w:t>on par</w:t>
      </w:r>
      <w:r w:rsidRPr="000412A1">
        <w:rPr>
          <w:sz w:val="22"/>
          <w:szCs w:val="22"/>
        </w:rPr>
        <w:t xml:space="preserve"> with </w:t>
      </w:r>
      <w:r w:rsidR="001D1C0B" w:rsidRPr="000412A1">
        <w:rPr>
          <w:sz w:val="22"/>
          <w:szCs w:val="22"/>
        </w:rPr>
        <w:t>the</w:t>
      </w:r>
      <w:r w:rsidR="007148AC" w:rsidRPr="000412A1">
        <w:rPr>
          <w:sz w:val="22"/>
          <w:szCs w:val="22"/>
        </w:rPr>
        <w:t xml:space="preserve"> </w:t>
      </w:r>
      <w:r w:rsidR="001D1C0B" w:rsidRPr="000412A1">
        <w:rPr>
          <w:sz w:val="22"/>
          <w:szCs w:val="22"/>
        </w:rPr>
        <w:t xml:space="preserve">observed </w:t>
      </w:r>
      <w:r w:rsidRPr="000412A1">
        <w:rPr>
          <w:sz w:val="22"/>
          <w:szCs w:val="22"/>
        </w:rPr>
        <w:t xml:space="preserve">TOC and </w:t>
      </w:r>
      <w:r w:rsidR="0012077A" w:rsidRPr="000412A1">
        <w:rPr>
          <w:sz w:val="22"/>
          <w:szCs w:val="22"/>
        </w:rPr>
        <w:t xml:space="preserve">soluble </w:t>
      </w:r>
      <w:r w:rsidRPr="000412A1">
        <w:rPr>
          <w:sz w:val="22"/>
          <w:szCs w:val="22"/>
        </w:rPr>
        <w:t>COD values. Three</w:t>
      </w:r>
      <w:r w:rsidR="005F5DC4" w:rsidRPr="000412A1">
        <w:rPr>
          <w:sz w:val="22"/>
          <w:szCs w:val="22"/>
        </w:rPr>
        <w:t xml:space="preserve"> types of</w:t>
      </w:r>
      <w:r w:rsidRPr="000412A1">
        <w:rPr>
          <w:sz w:val="22"/>
          <w:szCs w:val="22"/>
        </w:rPr>
        <w:t xml:space="preserve"> short-chain </w:t>
      </w:r>
      <w:r w:rsidR="007148AC" w:rsidRPr="000412A1">
        <w:rPr>
          <w:sz w:val="22"/>
          <w:szCs w:val="22"/>
        </w:rPr>
        <w:t>VFAs</w:t>
      </w:r>
      <w:r w:rsidRPr="000412A1">
        <w:rPr>
          <w:sz w:val="22"/>
          <w:szCs w:val="22"/>
        </w:rPr>
        <w:t xml:space="preserve"> were </w:t>
      </w:r>
      <w:r w:rsidR="005F5DC4" w:rsidRPr="000412A1">
        <w:rPr>
          <w:sz w:val="22"/>
          <w:szCs w:val="22"/>
        </w:rPr>
        <w:t xml:space="preserve">mainly </w:t>
      </w:r>
      <w:r w:rsidR="0012077A" w:rsidRPr="000412A1">
        <w:rPr>
          <w:sz w:val="22"/>
          <w:szCs w:val="22"/>
        </w:rPr>
        <w:t xml:space="preserve">measured </w:t>
      </w:r>
      <w:r w:rsidRPr="000412A1">
        <w:rPr>
          <w:sz w:val="22"/>
          <w:szCs w:val="22"/>
        </w:rPr>
        <w:t>(acetic acid, propionic acid</w:t>
      </w:r>
      <w:r w:rsidR="009B760B">
        <w:rPr>
          <w:sz w:val="22"/>
          <w:szCs w:val="22"/>
        </w:rPr>
        <w:t>,</w:t>
      </w:r>
      <w:r w:rsidRPr="000412A1">
        <w:rPr>
          <w:sz w:val="22"/>
          <w:szCs w:val="22"/>
        </w:rPr>
        <w:t xml:space="preserve"> and butyric acid)</w:t>
      </w:r>
      <w:r w:rsidR="009B760B">
        <w:rPr>
          <w:sz w:val="22"/>
          <w:szCs w:val="22"/>
        </w:rPr>
        <w:t>,</w:t>
      </w:r>
      <w:r w:rsidRPr="000412A1">
        <w:rPr>
          <w:sz w:val="22"/>
          <w:szCs w:val="22"/>
        </w:rPr>
        <w:t xml:space="preserve"> </w:t>
      </w:r>
      <w:r w:rsidR="005F5DC4" w:rsidRPr="000412A1">
        <w:rPr>
          <w:sz w:val="22"/>
          <w:szCs w:val="22"/>
        </w:rPr>
        <w:t xml:space="preserve">with </w:t>
      </w:r>
      <w:r w:rsidRPr="000412A1">
        <w:rPr>
          <w:sz w:val="22"/>
          <w:szCs w:val="22"/>
        </w:rPr>
        <w:t xml:space="preserve">the highest concentration </w:t>
      </w:r>
      <w:r w:rsidR="005F5DC4" w:rsidRPr="000412A1">
        <w:rPr>
          <w:sz w:val="22"/>
          <w:szCs w:val="22"/>
        </w:rPr>
        <w:t xml:space="preserve">corresponding </w:t>
      </w:r>
      <w:r w:rsidRPr="000412A1">
        <w:rPr>
          <w:sz w:val="22"/>
          <w:szCs w:val="22"/>
        </w:rPr>
        <w:t>to acetic acid.</w:t>
      </w:r>
      <w:r w:rsidR="005F5DC4" w:rsidRPr="000412A1">
        <w:rPr>
          <w:sz w:val="22"/>
          <w:szCs w:val="22"/>
        </w:rPr>
        <w:t xml:space="preserve"> EPS and</w:t>
      </w:r>
      <w:r w:rsidR="00F26285" w:rsidRPr="00F26285">
        <w:rPr>
          <w:sz w:val="22"/>
          <w:szCs w:val="22"/>
        </w:rPr>
        <w:t xml:space="preserve"> </w:t>
      </w:r>
      <w:r w:rsidR="00F26285" w:rsidRPr="000412A1">
        <w:rPr>
          <w:sz w:val="22"/>
          <w:szCs w:val="22"/>
        </w:rPr>
        <w:t>cell</w:t>
      </w:r>
      <w:r w:rsidR="00F26285" w:rsidRPr="009B760B">
        <w:rPr>
          <w:sz w:val="22"/>
          <w:szCs w:val="22"/>
        </w:rPr>
        <w:t xml:space="preserve"> </w:t>
      </w:r>
      <w:r w:rsidR="005F5DC4" w:rsidRPr="000412A1">
        <w:rPr>
          <w:sz w:val="22"/>
          <w:szCs w:val="22"/>
        </w:rPr>
        <w:t>membrane</w:t>
      </w:r>
      <w:r w:rsidR="00714990">
        <w:rPr>
          <w:sz w:val="22"/>
          <w:szCs w:val="22"/>
        </w:rPr>
        <w:t xml:space="preserve"> </w:t>
      </w:r>
      <w:r w:rsidR="009B760B" w:rsidRPr="000412A1">
        <w:rPr>
          <w:sz w:val="22"/>
          <w:szCs w:val="22"/>
        </w:rPr>
        <w:t>disintegration</w:t>
      </w:r>
      <w:r w:rsidR="005F5DC4" w:rsidRPr="000412A1">
        <w:rPr>
          <w:sz w:val="22"/>
          <w:szCs w:val="22"/>
        </w:rPr>
        <w:t xml:space="preserve"> </w:t>
      </w:r>
      <w:r w:rsidR="00117105" w:rsidRPr="000412A1">
        <w:rPr>
          <w:sz w:val="22"/>
          <w:szCs w:val="22"/>
        </w:rPr>
        <w:t xml:space="preserve">exposed </w:t>
      </w:r>
      <w:r w:rsidR="005F5DC4" w:rsidRPr="000412A1">
        <w:rPr>
          <w:sz w:val="22"/>
          <w:szCs w:val="22"/>
        </w:rPr>
        <w:t xml:space="preserve">the inner organic material (carbohydrates and </w:t>
      </w:r>
      <w:r w:rsidR="005F5DC4" w:rsidRPr="000412A1">
        <w:rPr>
          <w:sz w:val="22"/>
          <w:szCs w:val="22"/>
        </w:rPr>
        <w:lastRenderedPageBreak/>
        <w:t xml:space="preserve">proteins) </w:t>
      </w:r>
      <w:r w:rsidR="00990A08" w:rsidRPr="000412A1">
        <w:rPr>
          <w:sz w:val="22"/>
          <w:szCs w:val="22"/>
        </w:rPr>
        <w:t xml:space="preserve">that </w:t>
      </w:r>
      <w:r w:rsidR="00117105" w:rsidRPr="000412A1">
        <w:rPr>
          <w:sz w:val="22"/>
          <w:szCs w:val="22"/>
        </w:rPr>
        <w:t xml:space="preserve">was then </w:t>
      </w:r>
      <w:r w:rsidR="005F5DC4" w:rsidRPr="000412A1">
        <w:rPr>
          <w:sz w:val="22"/>
          <w:szCs w:val="22"/>
        </w:rPr>
        <w:t>released into the liquid phase</w:t>
      </w:r>
      <w:r w:rsidR="009B760B">
        <w:rPr>
          <w:sz w:val="22"/>
          <w:szCs w:val="22"/>
        </w:rPr>
        <w:t>,</w:t>
      </w:r>
      <w:r w:rsidR="005F5DC4" w:rsidRPr="000412A1">
        <w:rPr>
          <w:sz w:val="22"/>
          <w:szCs w:val="22"/>
        </w:rPr>
        <w:t xml:space="preserve"> contribut</w:t>
      </w:r>
      <w:r w:rsidR="00117105" w:rsidRPr="000412A1">
        <w:rPr>
          <w:sz w:val="22"/>
          <w:szCs w:val="22"/>
        </w:rPr>
        <w:t>ing</w:t>
      </w:r>
      <w:r w:rsidR="005F5DC4" w:rsidRPr="000412A1">
        <w:rPr>
          <w:sz w:val="22"/>
          <w:szCs w:val="22"/>
        </w:rPr>
        <w:t xml:space="preserve"> to </w:t>
      </w:r>
      <w:r w:rsidR="00825548" w:rsidRPr="000412A1">
        <w:rPr>
          <w:sz w:val="22"/>
          <w:szCs w:val="22"/>
        </w:rPr>
        <w:t>a</w:t>
      </w:r>
      <w:r w:rsidR="00990A08" w:rsidRPr="000412A1">
        <w:rPr>
          <w:sz w:val="22"/>
          <w:szCs w:val="22"/>
        </w:rPr>
        <w:t>n</w:t>
      </w:r>
      <w:r w:rsidR="00825548" w:rsidRPr="000412A1">
        <w:rPr>
          <w:sz w:val="22"/>
          <w:szCs w:val="22"/>
        </w:rPr>
        <w:t xml:space="preserve"> </w:t>
      </w:r>
      <w:r w:rsidR="00990A08" w:rsidRPr="000412A1">
        <w:rPr>
          <w:sz w:val="22"/>
          <w:szCs w:val="22"/>
        </w:rPr>
        <w:t xml:space="preserve">increased </w:t>
      </w:r>
      <w:r w:rsidR="005F5DC4" w:rsidRPr="000412A1">
        <w:rPr>
          <w:sz w:val="22"/>
          <w:szCs w:val="22"/>
        </w:rPr>
        <w:t>content of short-chain fatty</w:t>
      </w:r>
      <w:r w:rsidR="007148AC" w:rsidRPr="000412A1">
        <w:rPr>
          <w:sz w:val="22"/>
          <w:szCs w:val="22"/>
        </w:rPr>
        <w:t xml:space="preserve"> acids</w:t>
      </w:r>
      <w:r w:rsidR="005F5DC4" w:rsidRPr="000412A1">
        <w:rPr>
          <w:sz w:val="22"/>
          <w:szCs w:val="22"/>
        </w:rPr>
        <w:t xml:space="preserve"> </w:t>
      </w:r>
      <w:r w:rsidR="00990A08" w:rsidRPr="000412A1">
        <w:rPr>
          <w:sz w:val="22"/>
          <w:szCs w:val="22"/>
        </w:rPr>
        <w:t xml:space="preserve">associated with </w:t>
      </w:r>
      <w:r w:rsidR="009B760B" w:rsidRPr="000412A1">
        <w:rPr>
          <w:sz w:val="22"/>
          <w:szCs w:val="22"/>
        </w:rPr>
        <w:t xml:space="preserve">sludge </w:t>
      </w:r>
      <w:proofErr w:type="spellStart"/>
      <w:r w:rsidR="005F5DC4" w:rsidRPr="000412A1">
        <w:rPr>
          <w:sz w:val="22"/>
          <w:szCs w:val="22"/>
        </w:rPr>
        <w:t>pretreatment</w:t>
      </w:r>
      <w:proofErr w:type="spellEnd"/>
      <w:r w:rsidR="005F5DC4" w:rsidRPr="000412A1">
        <w:rPr>
          <w:sz w:val="22"/>
          <w:szCs w:val="22"/>
        </w:rPr>
        <w:t xml:space="preserve"> </w:t>
      </w:r>
      <w:r w:rsidR="005F5DC4" w:rsidRPr="000412A1">
        <w:rPr>
          <w:sz w:val="22"/>
          <w:szCs w:val="22"/>
        </w:rPr>
        <w:fldChar w:fldCharType="begin" w:fldLock="1"/>
      </w:r>
      <w:r w:rsidR="00A07857" w:rsidRPr="000412A1">
        <w:rPr>
          <w:sz w:val="22"/>
          <w:szCs w:val="22"/>
        </w:rPr>
        <w:instrText>ADDIN CSL_CITATION { "citationItems" : [ { "id" : "ITEM-1", "itemData" : { "DOI" : "10.1016/J.APENERGY.2019.01.243", "ISSN" : "0306-2619", "abstract" : "With the increase of energy consumption and wastes generation due to human activities, anaerobic digestion (AD), a technology which turns wastes into bio-energy, is receiving more and more attention in the world. It is well known that there are at least three stages involved in anaerobic digestion, i.e., hydrolysis, acidification, and methanogenesis. Until now, however, the advances in enhancing acidification and methanogenesis have not been reviewed. This review provides a comprehensive overview of the methods reported to enhance each step involved in anaerobic digestion. More important, enzymes are the key to anaerobic digestion, and the strategies for improving enzyme activity are summarized. As electron transfer has been reported to play an important role in anaerobic digestion, the research progress of the approaches for the acceleration of direct interspecies electron transfer in methane production is also introduced. In addition, the recent advances in increasing the reduction of carbon dioxide to methane, which has been widely observed in methanogenesis step, are reviewed. Furthermore, the techno-economic assessment of anaerobic digestion is made, and the key points for future studies are proposed.", "author" : [ { "dropping-particle" : "", "family" : "Li", "given" : "Yue", "non-dropping-particle" : "", "parse-names" : false, "suffix" : "" }, { "dropping-particle" : "", "family" : "Chen", "given" : "Yinguang", "non-dropping-particle" : "", "parse-names" : false, "suffix" : "" }, { "dropping-particle" : "", "family" : "Wu", "given" : "Jiang", "non-dropping-particle" : "", "parse-names" : false, "suffix" : "" } ], "container-title" : "Applied Energy", "id" : "ITEM-1", "issued" : { "date-parts" : [ [ "2019", "4", "15" ] ] }, "page" : "120-137", "publisher" : "Elsevier", "title" : "Enhancement of methane production in anaerobic digestion process: A review", "type" : "article-journal", "volume" : "240" }, "uris" : [ "http://www.mendeley.com/documents/?uuid=06474042-68be-3ae2-bbaa-a997f271ae0e", "http://www.mendeley.com/documents/?uuid=5c10d389-6710-4f54-a367-3d9ecb465cca" ] } ], "mendeley" : { "formattedCitation" : "(Y. Li et al., 2019)", "manualFormatting" : "(Li et al., 2019)", "plainTextFormattedCitation" : "(Y. Li et al., 2019)", "previouslyFormattedCitation" : "(Y. Li et al., 2019)" }, "properties" : {  }, "schema" : "https://github.com/citation-style-language/schema/raw/master/csl-citation.json" }</w:instrText>
      </w:r>
      <w:r w:rsidR="005F5DC4" w:rsidRPr="000412A1">
        <w:rPr>
          <w:sz w:val="22"/>
          <w:szCs w:val="22"/>
        </w:rPr>
        <w:fldChar w:fldCharType="separate"/>
      </w:r>
      <w:r w:rsidR="00A03F86" w:rsidRPr="000412A1">
        <w:rPr>
          <w:noProof/>
          <w:sz w:val="22"/>
          <w:szCs w:val="22"/>
        </w:rPr>
        <w:t>(Li et al., 2019)</w:t>
      </w:r>
      <w:r w:rsidR="005F5DC4" w:rsidRPr="000412A1">
        <w:rPr>
          <w:sz w:val="22"/>
          <w:szCs w:val="22"/>
        </w:rPr>
        <w:fldChar w:fldCharType="end"/>
      </w:r>
      <w:r w:rsidR="005F5DC4" w:rsidRPr="000412A1">
        <w:rPr>
          <w:sz w:val="22"/>
          <w:szCs w:val="22"/>
        </w:rPr>
        <w:t>.</w:t>
      </w:r>
    </w:p>
    <w:p w14:paraId="2AFA85B7" w14:textId="570165A2" w:rsidR="00A65FC9" w:rsidRPr="000412A1" w:rsidRDefault="00203457" w:rsidP="00A65FC9">
      <w:pPr>
        <w:pStyle w:val="Epgrafe"/>
        <w:rPr>
          <w:i w:val="0"/>
          <w:color w:val="auto"/>
          <w:sz w:val="22"/>
          <w:szCs w:val="22"/>
        </w:rPr>
      </w:pPr>
      <w:bookmarkStart w:id="6" w:name="_Ref33004014"/>
      <w:r w:rsidRPr="000412A1">
        <w:rPr>
          <w:i w:val="0"/>
          <w:noProof/>
          <w:color w:val="auto"/>
          <w:sz w:val="22"/>
          <w:szCs w:val="22"/>
          <w:lang w:val="es-ES" w:eastAsia="es-ES"/>
        </w:rPr>
        <w:drawing>
          <wp:inline distT="0" distB="0" distL="0" distR="0" wp14:anchorId="6BA4ECE3" wp14:editId="6B56876C">
            <wp:extent cx="2880000" cy="2397063"/>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397063"/>
                    </a:xfrm>
                    <a:prstGeom prst="rect">
                      <a:avLst/>
                    </a:prstGeom>
                  </pic:spPr>
                </pic:pic>
              </a:graphicData>
            </a:graphic>
          </wp:inline>
        </w:drawing>
      </w:r>
    </w:p>
    <w:p w14:paraId="43082830" w14:textId="5DCA182A" w:rsidR="00A65FC9" w:rsidRPr="000412A1" w:rsidRDefault="00A65FC9" w:rsidP="00A65FC9">
      <w:pPr>
        <w:pStyle w:val="Epgrafe"/>
        <w:rPr>
          <w:i w:val="0"/>
          <w:color w:val="auto"/>
          <w:sz w:val="22"/>
          <w:szCs w:val="22"/>
        </w:rPr>
      </w:pPr>
      <w:r w:rsidRPr="009A0A82">
        <w:rPr>
          <w:b/>
          <w:bCs/>
          <w:i w:val="0"/>
          <w:color w:val="auto"/>
          <w:sz w:val="22"/>
          <w:szCs w:val="22"/>
        </w:rPr>
        <w:t>Fig</w:t>
      </w:r>
      <w:r w:rsidR="009B760B" w:rsidRPr="009A0A82">
        <w:rPr>
          <w:b/>
          <w:bCs/>
          <w:i w:val="0"/>
          <w:color w:val="auto"/>
          <w:sz w:val="22"/>
          <w:szCs w:val="22"/>
        </w:rPr>
        <w:t xml:space="preserve">ure </w:t>
      </w:r>
      <w:bookmarkEnd w:id="6"/>
      <w:r w:rsidR="00CB231F" w:rsidRPr="009A0A82">
        <w:rPr>
          <w:b/>
          <w:bCs/>
          <w:i w:val="0"/>
          <w:color w:val="auto"/>
          <w:sz w:val="22"/>
          <w:szCs w:val="22"/>
        </w:rPr>
        <w:t>2</w:t>
      </w:r>
      <w:r w:rsidRPr="000412A1">
        <w:rPr>
          <w:i w:val="0"/>
          <w:color w:val="auto"/>
          <w:sz w:val="22"/>
          <w:szCs w:val="22"/>
        </w:rPr>
        <w:t>. Volatile</w:t>
      </w:r>
      <w:r w:rsidR="00714990">
        <w:rPr>
          <w:i w:val="0"/>
          <w:color w:val="auto"/>
          <w:sz w:val="22"/>
          <w:szCs w:val="22"/>
        </w:rPr>
        <w:t xml:space="preserve"> </w:t>
      </w:r>
      <w:r w:rsidRPr="000412A1">
        <w:rPr>
          <w:i w:val="0"/>
          <w:color w:val="auto"/>
          <w:sz w:val="22"/>
          <w:szCs w:val="22"/>
        </w:rPr>
        <w:t>fatty</w:t>
      </w:r>
      <w:r w:rsidR="00714990">
        <w:rPr>
          <w:i w:val="0"/>
          <w:color w:val="auto"/>
          <w:sz w:val="22"/>
          <w:szCs w:val="22"/>
        </w:rPr>
        <w:t xml:space="preserve"> </w:t>
      </w:r>
      <w:r w:rsidRPr="000412A1">
        <w:rPr>
          <w:i w:val="0"/>
          <w:color w:val="auto"/>
          <w:sz w:val="22"/>
          <w:szCs w:val="22"/>
        </w:rPr>
        <w:t>acid concentration before and after electr</w:t>
      </w:r>
      <w:r w:rsidR="001E7DCA" w:rsidRPr="000412A1">
        <w:rPr>
          <w:i w:val="0"/>
          <w:color w:val="auto"/>
          <w:sz w:val="22"/>
          <w:szCs w:val="22"/>
        </w:rPr>
        <w:t>o-o</w:t>
      </w:r>
      <w:r w:rsidRPr="000412A1">
        <w:rPr>
          <w:i w:val="0"/>
          <w:color w:val="auto"/>
          <w:sz w:val="22"/>
          <w:szCs w:val="22"/>
        </w:rPr>
        <w:t>xidation experiments.</w:t>
      </w:r>
    </w:p>
    <w:p w14:paraId="2562D4A8" w14:textId="40F44245" w:rsidR="00E47E7B" w:rsidRPr="000412A1" w:rsidRDefault="00E47E7B" w:rsidP="00E95E94">
      <w:pPr>
        <w:tabs>
          <w:tab w:val="left" w:pos="425"/>
        </w:tabs>
        <w:spacing w:line="480" w:lineRule="auto"/>
        <w:jc w:val="both"/>
      </w:pPr>
    </w:p>
    <w:p w14:paraId="219418BB" w14:textId="3727858A" w:rsidR="00CD65B1" w:rsidRPr="000412A1" w:rsidRDefault="005F5DC4" w:rsidP="00AA72EF">
      <w:pPr>
        <w:tabs>
          <w:tab w:val="left" w:pos="425"/>
        </w:tabs>
        <w:spacing w:line="480" w:lineRule="auto"/>
        <w:rPr>
          <w:b/>
          <w:sz w:val="22"/>
          <w:szCs w:val="22"/>
        </w:rPr>
      </w:pPr>
      <w:r w:rsidRPr="000412A1">
        <w:rPr>
          <w:b/>
          <w:sz w:val="22"/>
          <w:szCs w:val="22"/>
        </w:rPr>
        <w:t>3.2. Anaerobic</w:t>
      </w:r>
      <w:r w:rsidR="00714990">
        <w:rPr>
          <w:b/>
          <w:sz w:val="22"/>
          <w:szCs w:val="22"/>
        </w:rPr>
        <w:t xml:space="preserve"> </w:t>
      </w:r>
      <w:r w:rsidR="009B760B">
        <w:rPr>
          <w:b/>
          <w:sz w:val="22"/>
          <w:szCs w:val="22"/>
        </w:rPr>
        <w:t>D</w:t>
      </w:r>
      <w:r w:rsidRPr="000412A1">
        <w:rPr>
          <w:b/>
          <w:sz w:val="22"/>
          <w:szCs w:val="22"/>
        </w:rPr>
        <w:t xml:space="preserve">igestion </w:t>
      </w:r>
      <w:r w:rsidR="009B760B">
        <w:rPr>
          <w:b/>
          <w:sz w:val="22"/>
          <w:szCs w:val="22"/>
        </w:rPr>
        <w:t>O</w:t>
      </w:r>
      <w:r w:rsidR="009B760B" w:rsidRPr="000412A1">
        <w:rPr>
          <w:b/>
          <w:sz w:val="22"/>
          <w:szCs w:val="22"/>
        </w:rPr>
        <w:t>ptimisation</w:t>
      </w:r>
    </w:p>
    <w:p w14:paraId="23506D4C" w14:textId="77777777" w:rsidR="00CD65B1" w:rsidRPr="000412A1" w:rsidRDefault="00CD65B1" w:rsidP="00AA72EF">
      <w:pPr>
        <w:tabs>
          <w:tab w:val="left" w:pos="425"/>
        </w:tabs>
        <w:spacing w:line="480" w:lineRule="auto"/>
        <w:rPr>
          <w:sz w:val="22"/>
          <w:szCs w:val="22"/>
        </w:rPr>
      </w:pPr>
    </w:p>
    <w:p w14:paraId="41967979" w14:textId="4E5B477F" w:rsidR="00E762A5" w:rsidRPr="000412A1" w:rsidRDefault="00971E69" w:rsidP="00AA72EF">
      <w:pPr>
        <w:tabs>
          <w:tab w:val="left" w:pos="425"/>
        </w:tabs>
        <w:spacing w:line="480" w:lineRule="auto"/>
        <w:rPr>
          <w:sz w:val="22"/>
          <w:szCs w:val="22"/>
        </w:rPr>
      </w:pPr>
      <w:r w:rsidRPr="000412A1">
        <w:rPr>
          <w:sz w:val="22"/>
          <w:szCs w:val="22"/>
        </w:rPr>
        <w:t>C</w:t>
      </w:r>
      <w:r w:rsidR="00CD65B1" w:rsidRPr="000412A1">
        <w:rPr>
          <w:sz w:val="22"/>
          <w:szCs w:val="22"/>
        </w:rPr>
        <w:t>umulative methane</w:t>
      </w:r>
      <w:r w:rsidR="00714990">
        <w:rPr>
          <w:sz w:val="22"/>
          <w:szCs w:val="22"/>
        </w:rPr>
        <w:t xml:space="preserve"> </w:t>
      </w:r>
      <w:r w:rsidR="00CD65B1" w:rsidRPr="000412A1">
        <w:rPr>
          <w:sz w:val="22"/>
          <w:szCs w:val="22"/>
        </w:rPr>
        <w:t>production curves obtained from the different batch assays are shown in</w:t>
      </w:r>
      <w:r w:rsidR="00582281" w:rsidRPr="000412A1">
        <w:rPr>
          <w:sz w:val="22"/>
          <w:szCs w:val="22"/>
        </w:rPr>
        <w:t xml:space="preserve"> Fi</w:t>
      </w:r>
      <w:r w:rsidR="00CB231F" w:rsidRPr="000412A1">
        <w:rPr>
          <w:sz w:val="22"/>
          <w:szCs w:val="22"/>
        </w:rPr>
        <w:t>g</w:t>
      </w:r>
      <w:r w:rsidR="009B760B">
        <w:rPr>
          <w:sz w:val="22"/>
          <w:szCs w:val="22"/>
        </w:rPr>
        <w:t xml:space="preserve">ure </w:t>
      </w:r>
      <w:r w:rsidR="00CB231F" w:rsidRPr="000412A1">
        <w:rPr>
          <w:sz w:val="22"/>
          <w:szCs w:val="22"/>
        </w:rPr>
        <w:t>3</w:t>
      </w:r>
      <w:r w:rsidR="00CD65B1" w:rsidRPr="000412A1">
        <w:rPr>
          <w:sz w:val="22"/>
          <w:szCs w:val="22"/>
        </w:rPr>
        <w:t xml:space="preserve">. An increase in methane yield was observed with the application of </w:t>
      </w:r>
      <w:proofErr w:type="spellStart"/>
      <w:r w:rsidR="00CD65B1" w:rsidRPr="000412A1">
        <w:rPr>
          <w:sz w:val="22"/>
          <w:szCs w:val="22"/>
        </w:rPr>
        <w:t>pretreatment</w:t>
      </w:r>
      <w:r w:rsidR="008F063B" w:rsidRPr="000412A1">
        <w:rPr>
          <w:sz w:val="22"/>
          <w:szCs w:val="22"/>
        </w:rPr>
        <w:t>s</w:t>
      </w:r>
      <w:proofErr w:type="spellEnd"/>
      <w:r w:rsidR="00CD65B1" w:rsidRPr="000412A1">
        <w:rPr>
          <w:sz w:val="22"/>
          <w:szCs w:val="22"/>
        </w:rPr>
        <w:t xml:space="preserve"> </w:t>
      </w:r>
      <w:r w:rsidR="007D3E8C" w:rsidRPr="000412A1">
        <w:rPr>
          <w:sz w:val="22"/>
          <w:szCs w:val="22"/>
        </w:rPr>
        <w:t>(</w:t>
      </w:r>
      <w:r w:rsidR="00CD65B1" w:rsidRPr="000412A1">
        <w:rPr>
          <w:sz w:val="22"/>
          <w:szCs w:val="22"/>
        </w:rPr>
        <w:t>T5, T1</w:t>
      </w:r>
      <w:r w:rsidR="006D0B45" w:rsidRPr="000412A1">
        <w:rPr>
          <w:sz w:val="22"/>
          <w:szCs w:val="22"/>
        </w:rPr>
        <w:t>,</w:t>
      </w:r>
      <w:r w:rsidR="007D3E8C" w:rsidRPr="000412A1">
        <w:rPr>
          <w:sz w:val="22"/>
          <w:szCs w:val="22"/>
        </w:rPr>
        <w:t xml:space="preserve"> </w:t>
      </w:r>
      <w:r w:rsidR="00CD65B1" w:rsidRPr="000412A1">
        <w:rPr>
          <w:sz w:val="22"/>
          <w:szCs w:val="22"/>
        </w:rPr>
        <w:t>T4</w:t>
      </w:r>
      <w:r w:rsidR="007D3E8C" w:rsidRPr="000412A1">
        <w:rPr>
          <w:sz w:val="22"/>
          <w:szCs w:val="22"/>
        </w:rPr>
        <w:t>)</w:t>
      </w:r>
      <w:r w:rsidR="009B760B">
        <w:rPr>
          <w:sz w:val="22"/>
          <w:szCs w:val="22"/>
        </w:rPr>
        <w:t>,</w:t>
      </w:r>
      <w:r w:rsidR="00CD65B1" w:rsidRPr="000412A1">
        <w:rPr>
          <w:sz w:val="22"/>
          <w:szCs w:val="22"/>
        </w:rPr>
        <w:t xml:space="preserve"> and a decrease with the application of </w:t>
      </w:r>
      <w:proofErr w:type="spellStart"/>
      <w:r w:rsidR="009B760B">
        <w:rPr>
          <w:sz w:val="22"/>
          <w:szCs w:val="22"/>
        </w:rPr>
        <w:t>P</w:t>
      </w:r>
      <w:r w:rsidR="00CD65B1" w:rsidRPr="000412A1">
        <w:rPr>
          <w:sz w:val="22"/>
          <w:szCs w:val="22"/>
        </w:rPr>
        <w:t>retreatment</w:t>
      </w:r>
      <w:r w:rsidR="006A34CF" w:rsidRPr="000412A1">
        <w:rPr>
          <w:sz w:val="22"/>
          <w:szCs w:val="22"/>
        </w:rPr>
        <w:t>s</w:t>
      </w:r>
      <w:proofErr w:type="spellEnd"/>
      <w:r w:rsidR="00CD65B1" w:rsidRPr="000412A1">
        <w:rPr>
          <w:sz w:val="22"/>
          <w:szCs w:val="22"/>
        </w:rPr>
        <w:t xml:space="preserve"> T2 and T3 (Na</w:t>
      </w:r>
      <w:r w:rsidR="00CD65B1" w:rsidRPr="000412A1">
        <w:rPr>
          <w:sz w:val="22"/>
          <w:szCs w:val="22"/>
          <w:vertAlign w:val="subscript"/>
        </w:rPr>
        <w:t>2</w:t>
      </w:r>
      <w:r w:rsidR="00CD65B1" w:rsidRPr="000412A1">
        <w:rPr>
          <w:sz w:val="22"/>
          <w:szCs w:val="22"/>
        </w:rPr>
        <w:t>SO</w:t>
      </w:r>
      <w:r w:rsidR="00CD65B1" w:rsidRPr="000412A1">
        <w:rPr>
          <w:sz w:val="22"/>
          <w:szCs w:val="22"/>
          <w:vertAlign w:val="subscript"/>
        </w:rPr>
        <w:t>4</w:t>
      </w:r>
      <w:r w:rsidR="009B760B" w:rsidRPr="009B760B">
        <w:rPr>
          <w:sz w:val="22"/>
          <w:szCs w:val="22"/>
        </w:rPr>
        <w:t xml:space="preserve"> </w:t>
      </w:r>
      <w:r w:rsidR="009B760B" w:rsidRPr="000412A1">
        <w:rPr>
          <w:sz w:val="22"/>
          <w:szCs w:val="22"/>
        </w:rPr>
        <w:t>addition</w:t>
      </w:r>
      <w:r w:rsidR="00CD65B1" w:rsidRPr="000412A1">
        <w:rPr>
          <w:sz w:val="22"/>
          <w:szCs w:val="22"/>
        </w:rPr>
        <w:t>). The adjustment of pH to 7</w:t>
      </w:r>
      <w:r w:rsidR="006A34CF" w:rsidRPr="000412A1">
        <w:rPr>
          <w:sz w:val="22"/>
          <w:szCs w:val="22"/>
        </w:rPr>
        <w:t xml:space="preserve"> </w:t>
      </w:r>
      <w:r w:rsidR="009B760B">
        <w:rPr>
          <w:sz w:val="22"/>
          <w:szCs w:val="22"/>
        </w:rPr>
        <w:t>with</w:t>
      </w:r>
      <w:r w:rsidR="00CD65B1" w:rsidRPr="000412A1">
        <w:rPr>
          <w:sz w:val="22"/>
          <w:szCs w:val="22"/>
        </w:rPr>
        <w:t xml:space="preserve"> the addition of </w:t>
      </w:r>
      <w:r w:rsidR="005F5DC4" w:rsidRPr="000412A1">
        <w:rPr>
          <w:sz w:val="22"/>
          <w:szCs w:val="22"/>
        </w:rPr>
        <w:t xml:space="preserve">an </w:t>
      </w:r>
      <w:r w:rsidR="00CD65B1" w:rsidRPr="000412A1">
        <w:rPr>
          <w:sz w:val="22"/>
          <w:szCs w:val="22"/>
        </w:rPr>
        <w:t xml:space="preserve">alkaline solution (T5) improved methane yield </w:t>
      </w:r>
      <w:r w:rsidR="00A01151" w:rsidRPr="000412A1">
        <w:rPr>
          <w:sz w:val="22"/>
          <w:szCs w:val="22"/>
        </w:rPr>
        <w:t>by ~</w:t>
      </w:r>
      <w:r w:rsidR="00CD65B1" w:rsidRPr="000412A1">
        <w:rPr>
          <w:sz w:val="22"/>
          <w:szCs w:val="22"/>
        </w:rPr>
        <w:t xml:space="preserve">18%. </w:t>
      </w:r>
    </w:p>
    <w:p w14:paraId="69A44BFF" w14:textId="459D33A5" w:rsidR="00203457" w:rsidRPr="000412A1" w:rsidRDefault="00203457" w:rsidP="00AA72EF">
      <w:pPr>
        <w:tabs>
          <w:tab w:val="left" w:pos="425"/>
        </w:tabs>
        <w:spacing w:line="480" w:lineRule="auto"/>
        <w:rPr>
          <w:sz w:val="22"/>
          <w:szCs w:val="22"/>
        </w:rPr>
      </w:pPr>
      <w:r w:rsidRPr="000412A1">
        <w:rPr>
          <w:noProof/>
          <w:sz w:val="22"/>
          <w:szCs w:val="22"/>
          <w:lang w:val="es-ES" w:eastAsia="es-ES"/>
        </w:rPr>
        <w:drawing>
          <wp:inline distT="0" distB="0" distL="0" distR="0" wp14:anchorId="3AD3183C" wp14:editId="3829FB15">
            <wp:extent cx="2880000" cy="2203690"/>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2203690"/>
                    </a:xfrm>
                    <a:prstGeom prst="rect">
                      <a:avLst/>
                    </a:prstGeom>
                  </pic:spPr>
                </pic:pic>
              </a:graphicData>
            </a:graphic>
          </wp:inline>
        </w:drawing>
      </w:r>
    </w:p>
    <w:p w14:paraId="6713D36E" w14:textId="18CA6121" w:rsidR="00203457" w:rsidRPr="000412A1" w:rsidRDefault="00203457" w:rsidP="00AA72EF">
      <w:pPr>
        <w:tabs>
          <w:tab w:val="left" w:pos="425"/>
        </w:tabs>
        <w:spacing w:line="480" w:lineRule="auto"/>
        <w:rPr>
          <w:sz w:val="22"/>
          <w:szCs w:val="22"/>
        </w:rPr>
      </w:pPr>
      <w:r w:rsidRPr="009A0A82">
        <w:rPr>
          <w:b/>
          <w:bCs/>
          <w:sz w:val="22"/>
          <w:szCs w:val="22"/>
        </w:rPr>
        <w:lastRenderedPageBreak/>
        <w:t>Fig</w:t>
      </w:r>
      <w:r w:rsidR="009B760B" w:rsidRPr="009A0A82">
        <w:rPr>
          <w:b/>
          <w:bCs/>
          <w:sz w:val="22"/>
          <w:szCs w:val="22"/>
        </w:rPr>
        <w:t>ure</w:t>
      </w:r>
      <w:r w:rsidRPr="009A0A82">
        <w:rPr>
          <w:b/>
          <w:bCs/>
          <w:sz w:val="22"/>
          <w:szCs w:val="22"/>
        </w:rPr>
        <w:t xml:space="preserve"> </w:t>
      </w:r>
      <w:r w:rsidR="00CB231F" w:rsidRPr="009A0A82">
        <w:rPr>
          <w:b/>
          <w:bCs/>
          <w:sz w:val="22"/>
          <w:szCs w:val="22"/>
        </w:rPr>
        <w:t>3</w:t>
      </w:r>
      <w:r w:rsidRPr="009A0A82">
        <w:rPr>
          <w:b/>
          <w:bCs/>
          <w:sz w:val="22"/>
          <w:szCs w:val="22"/>
        </w:rPr>
        <w:t>.</w:t>
      </w:r>
      <w:r w:rsidRPr="000412A1">
        <w:rPr>
          <w:sz w:val="22"/>
          <w:szCs w:val="22"/>
        </w:rPr>
        <w:t xml:space="preserve"> Cumulative methane production and fitted curves of sample after </w:t>
      </w:r>
      <w:r w:rsidR="00204F63" w:rsidRPr="000412A1">
        <w:rPr>
          <w:sz w:val="22"/>
          <w:szCs w:val="22"/>
        </w:rPr>
        <w:t>electr</w:t>
      </w:r>
      <w:r w:rsidR="001E7DCA" w:rsidRPr="000412A1">
        <w:rPr>
          <w:sz w:val="22"/>
          <w:szCs w:val="22"/>
        </w:rPr>
        <w:t>o-o</w:t>
      </w:r>
      <w:r w:rsidR="00204F63" w:rsidRPr="000412A1">
        <w:rPr>
          <w:sz w:val="22"/>
          <w:szCs w:val="22"/>
        </w:rPr>
        <w:t xml:space="preserve">xidation </w:t>
      </w:r>
      <w:proofErr w:type="spellStart"/>
      <w:r w:rsidRPr="000412A1">
        <w:rPr>
          <w:sz w:val="22"/>
          <w:szCs w:val="22"/>
        </w:rPr>
        <w:t>pretreatment</w:t>
      </w:r>
      <w:proofErr w:type="spellEnd"/>
      <w:r w:rsidRPr="000412A1">
        <w:rPr>
          <w:sz w:val="22"/>
          <w:szCs w:val="22"/>
        </w:rPr>
        <w:t>.</w:t>
      </w:r>
    </w:p>
    <w:p w14:paraId="59E52748" w14:textId="77777777" w:rsidR="00203457" w:rsidRPr="000412A1" w:rsidRDefault="00203457" w:rsidP="00AA72EF">
      <w:pPr>
        <w:tabs>
          <w:tab w:val="left" w:pos="425"/>
        </w:tabs>
        <w:spacing w:line="480" w:lineRule="auto"/>
        <w:rPr>
          <w:sz w:val="22"/>
          <w:szCs w:val="22"/>
        </w:rPr>
      </w:pPr>
    </w:p>
    <w:p w14:paraId="7008F3B2" w14:textId="04490404" w:rsidR="00E762A5" w:rsidRPr="000412A1" w:rsidRDefault="00CD65B1" w:rsidP="00AA72EF">
      <w:pPr>
        <w:tabs>
          <w:tab w:val="left" w:pos="425"/>
        </w:tabs>
        <w:spacing w:line="480" w:lineRule="auto"/>
        <w:rPr>
          <w:sz w:val="22"/>
          <w:szCs w:val="22"/>
        </w:rPr>
      </w:pPr>
      <w:r w:rsidRPr="000412A1">
        <w:rPr>
          <w:sz w:val="22"/>
          <w:szCs w:val="22"/>
        </w:rPr>
        <w:t xml:space="preserve">Sludge hydrolysis has been regarded as the rate-limiting step </w:t>
      </w:r>
      <w:r w:rsidR="001808A0" w:rsidRPr="000412A1">
        <w:rPr>
          <w:sz w:val="22"/>
          <w:szCs w:val="22"/>
        </w:rPr>
        <w:t xml:space="preserve">in </w:t>
      </w:r>
      <w:r w:rsidR="00D90D62" w:rsidRPr="000412A1">
        <w:rPr>
          <w:sz w:val="22"/>
          <w:szCs w:val="22"/>
        </w:rPr>
        <w:t xml:space="preserve">the </w:t>
      </w:r>
      <w:r w:rsidRPr="000412A1">
        <w:rPr>
          <w:sz w:val="22"/>
          <w:szCs w:val="22"/>
        </w:rPr>
        <w:t>anaerobic digestion</w:t>
      </w:r>
      <w:r w:rsidR="003E053D" w:rsidRPr="000412A1">
        <w:rPr>
          <w:sz w:val="22"/>
          <w:szCs w:val="22"/>
        </w:rPr>
        <w:t xml:space="preserve"> of particulate substrates</w:t>
      </w:r>
      <w:r w:rsidR="009B760B">
        <w:rPr>
          <w:sz w:val="22"/>
          <w:szCs w:val="22"/>
        </w:rPr>
        <w:t xml:space="preserve">; however, </w:t>
      </w:r>
      <w:r w:rsidRPr="000412A1">
        <w:rPr>
          <w:sz w:val="22"/>
          <w:szCs w:val="22"/>
        </w:rPr>
        <w:t xml:space="preserve">in this </w:t>
      </w:r>
      <w:r w:rsidR="00293A66" w:rsidRPr="000412A1">
        <w:rPr>
          <w:sz w:val="22"/>
          <w:szCs w:val="22"/>
        </w:rPr>
        <w:t>case,</w:t>
      </w:r>
      <w:r w:rsidRPr="000412A1">
        <w:rPr>
          <w:sz w:val="22"/>
          <w:szCs w:val="22"/>
        </w:rPr>
        <w:t xml:space="preserve"> improvement in the solubilisation </w:t>
      </w:r>
      <w:r w:rsidR="003E053D" w:rsidRPr="000412A1">
        <w:rPr>
          <w:sz w:val="22"/>
          <w:szCs w:val="22"/>
        </w:rPr>
        <w:t xml:space="preserve">of organic matter </w:t>
      </w:r>
      <w:r w:rsidR="003802A4" w:rsidRPr="000412A1">
        <w:rPr>
          <w:sz w:val="22"/>
          <w:szCs w:val="22"/>
        </w:rPr>
        <w:t>probably</w:t>
      </w:r>
      <w:r w:rsidR="003E053D" w:rsidRPr="000412A1">
        <w:rPr>
          <w:sz w:val="22"/>
          <w:szCs w:val="22"/>
        </w:rPr>
        <w:t xml:space="preserve"> </w:t>
      </w:r>
      <w:r w:rsidR="001808A0" w:rsidRPr="000412A1">
        <w:rPr>
          <w:sz w:val="22"/>
          <w:szCs w:val="22"/>
        </w:rPr>
        <w:t xml:space="preserve">improved </w:t>
      </w:r>
      <w:r w:rsidRPr="000412A1">
        <w:rPr>
          <w:sz w:val="22"/>
          <w:szCs w:val="22"/>
        </w:rPr>
        <w:t xml:space="preserve">the hydrolysis rate </w:t>
      </w:r>
      <w:r w:rsidR="001808A0" w:rsidRPr="000412A1">
        <w:rPr>
          <w:sz w:val="22"/>
          <w:szCs w:val="22"/>
        </w:rPr>
        <w:t xml:space="preserve">due to an </w:t>
      </w:r>
      <w:r w:rsidRPr="000412A1">
        <w:rPr>
          <w:sz w:val="22"/>
          <w:szCs w:val="22"/>
        </w:rPr>
        <w:t>increase in the amount of readily available</w:t>
      </w:r>
      <w:r w:rsidR="00E762A5" w:rsidRPr="000412A1">
        <w:rPr>
          <w:sz w:val="22"/>
          <w:szCs w:val="22"/>
        </w:rPr>
        <w:t xml:space="preserve"> </w:t>
      </w:r>
      <w:r w:rsidR="003E053D" w:rsidRPr="000412A1">
        <w:rPr>
          <w:sz w:val="22"/>
          <w:szCs w:val="22"/>
        </w:rPr>
        <w:t xml:space="preserve">compounds </w:t>
      </w:r>
      <w:r w:rsidR="00E762A5" w:rsidRPr="000412A1">
        <w:rPr>
          <w:sz w:val="22"/>
          <w:szCs w:val="22"/>
        </w:rPr>
        <w:t>(VFA</w:t>
      </w:r>
      <w:r w:rsidR="009B760B">
        <w:rPr>
          <w:sz w:val="22"/>
          <w:szCs w:val="22"/>
        </w:rPr>
        <w:t>s</w:t>
      </w:r>
      <w:r w:rsidR="00E762A5" w:rsidRPr="000412A1">
        <w:rPr>
          <w:sz w:val="22"/>
          <w:szCs w:val="22"/>
        </w:rPr>
        <w:t>)</w:t>
      </w:r>
      <w:r w:rsidRPr="000412A1">
        <w:rPr>
          <w:sz w:val="22"/>
          <w:szCs w:val="22"/>
        </w:rPr>
        <w:t>.</w:t>
      </w:r>
      <w:r w:rsidRPr="000412A1">
        <w:rPr>
          <w:noProof/>
          <w:sz w:val="22"/>
          <w:szCs w:val="22"/>
          <w:lang w:eastAsia="en-US"/>
        </w:rPr>
        <w:t xml:space="preserve"> </w:t>
      </w:r>
      <w:r w:rsidR="00E762A5" w:rsidRPr="000412A1">
        <w:rPr>
          <w:sz w:val="22"/>
          <w:szCs w:val="22"/>
        </w:rPr>
        <w:t xml:space="preserve">Acetic acid is </w:t>
      </w:r>
      <w:r w:rsidR="00D90D62" w:rsidRPr="000412A1">
        <w:rPr>
          <w:sz w:val="22"/>
          <w:szCs w:val="22"/>
        </w:rPr>
        <w:t xml:space="preserve">a </w:t>
      </w:r>
      <w:r w:rsidR="00E762A5" w:rsidRPr="000412A1">
        <w:rPr>
          <w:sz w:val="22"/>
          <w:szCs w:val="22"/>
        </w:rPr>
        <w:t>direct substrate for methanogens</w:t>
      </w:r>
      <w:r w:rsidR="00484709" w:rsidRPr="000412A1">
        <w:rPr>
          <w:sz w:val="22"/>
          <w:szCs w:val="22"/>
        </w:rPr>
        <w:t>, and it</w:t>
      </w:r>
      <w:r w:rsidR="003E053D" w:rsidRPr="000412A1">
        <w:rPr>
          <w:sz w:val="22"/>
          <w:szCs w:val="22"/>
        </w:rPr>
        <w:t xml:space="preserve"> is transformed into methane </w:t>
      </w:r>
      <w:r w:rsidR="00484709" w:rsidRPr="009A0A82">
        <w:rPr>
          <w:sz w:val="22"/>
          <w:szCs w:val="22"/>
        </w:rPr>
        <w:t>via</w:t>
      </w:r>
      <w:r w:rsidR="00484709" w:rsidRPr="000412A1">
        <w:rPr>
          <w:sz w:val="22"/>
          <w:szCs w:val="22"/>
        </w:rPr>
        <w:t xml:space="preserve"> </w:t>
      </w:r>
      <w:r w:rsidR="00E762A5" w:rsidRPr="000412A1">
        <w:rPr>
          <w:sz w:val="22"/>
          <w:szCs w:val="22"/>
        </w:rPr>
        <w:t>methanogenesis</w:t>
      </w:r>
      <w:r w:rsidR="00A57550" w:rsidRPr="000412A1">
        <w:rPr>
          <w:sz w:val="22"/>
          <w:szCs w:val="22"/>
        </w:rPr>
        <w:t>. T</w:t>
      </w:r>
      <w:r w:rsidR="00E762A5" w:rsidRPr="000412A1">
        <w:rPr>
          <w:sz w:val="22"/>
          <w:szCs w:val="22"/>
        </w:rPr>
        <w:t xml:space="preserve">hus, </w:t>
      </w:r>
      <w:r w:rsidR="008B0984" w:rsidRPr="000412A1">
        <w:rPr>
          <w:sz w:val="22"/>
          <w:szCs w:val="22"/>
        </w:rPr>
        <w:t xml:space="preserve">it </w:t>
      </w:r>
      <w:r w:rsidR="003802A4" w:rsidRPr="000412A1">
        <w:rPr>
          <w:sz w:val="22"/>
          <w:szCs w:val="22"/>
        </w:rPr>
        <w:t xml:space="preserve">can be assumed </w:t>
      </w:r>
      <w:r w:rsidR="008B0984" w:rsidRPr="000412A1">
        <w:rPr>
          <w:sz w:val="22"/>
          <w:szCs w:val="22"/>
        </w:rPr>
        <w:t xml:space="preserve">that </w:t>
      </w:r>
      <w:r w:rsidR="00E762A5" w:rsidRPr="000412A1">
        <w:rPr>
          <w:sz w:val="22"/>
          <w:szCs w:val="22"/>
        </w:rPr>
        <w:t xml:space="preserve">the </w:t>
      </w:r>
      <w:r w:rsidR="008B0984" w:rsidRPr="000412A1">
        <w:rPr>
          <w:sz w:val="22"/>
          <w:szCs w:val="22"/>
        </w:rPr>
        <w:t>increase in</w:t>
      </w:r>
      <w:r w:rsidR="003E053D" w:rsidRPr="000412A1">
        <w:rPr>
          <w:sz w:val="22"/>
          <w:szCs w:val="22"/>
        </w:rPr>
        <w:t xml:space="preserve"> </w:t>
      </w:r>
      <w:r w:rsidR="008B0984" w:rsidRPr="000412A1">
        <w:rPr>
          <w:sz w:val="22"/>
          <w:szCs w:val="22"/>
        </w:rPr>
        <w:t xml:space="preserve">acetic acid </w:t>
      </w:r>
      <w:r w:rsidR="003E053D" w:rsidRPr="000412A1">
        <w:rPr>
          <w:sz w:val="22"/>
          <w:szCs w:val="22"/>
        </w:rPr>
        <w:t>production</w:t>
      </w:r>
      <w:r w:rsidR="006D26C2" w:rsidRPr="000412A1">
        <w:rPr>
          <w:sz w:val="22"/>
          <w:szCs w:val="22"/>
        </w:rPr>
        <w:t xml:space="preserve"> </w:t>
      </w:r>
      <w:r w:rsidR="00D90D62" w:rsidRPr="000412A1">
        <w:rPr>
          <w:sz w:val="22"/>
          <w:szCs w:val="22"/>
        </w:rPr>
        <w:t xml:space="preserve">was </w:t>
      </w:r>
      <w:r w:rsidR="003E053D" w:rsidRPr="000412A1">
        <w:rPr>
          <w:sz w:val="22"/>
          <w:szCs w:val="22"/>
        </w:rPr>
        <w:t>directly associated</w:t>
      </w:r>
      <w:r w:rsidR="00E762A5" w:rsidRPr="000412A1">
        <w:rPr>
          <w:sz w:val="22"/>
          <w:szCs w:val="22"/>
        </w:rPr>
        <w:t xml:space="preserve"> </w:t>
      </w:r>
      <w:r w:rsidR="003E053D" w:rsidRPr="000412A1">
        <w:rPr>
          <w:sz w:val="22"/>
          <w:szCs w:val="22"/>
        </w:rPr>
        <w:t xml:space="preserve">with the </w:t>
      </w:r>
      <w:r w:rsidR="00E762A5" w:rsidRPr="000412A1">
        <w:rPr>
          <w:sz w:val="22"/>
          <w:szCs w:val="22"/>
        </w:rPr>
        <w:t xml:space="preserve">increase </w:t>
      </w:r>
      <w:r w:rsidR="003E053D" w:rsidRPr="000412A1">
        <w:rPr>
          <w:sz w:val="22"/>
          <w:szCs w:val="22"/>
        </w:rPr>
        <w:t xml:space="preserve">in </w:t>
      </w:r>
      <w:r w:rsidR="00E762A5" w:rsidRPr="000412A1">
        <w:rPr>
          <w:sz w:val="22"/>
          <w:szCs w:val="22"/>
        </w:rPr>
        <w:t>methane production.</w:t>
      </w:r>
    </w:p>
    <w:p w14:paraId="21899845" w14:textId="77777777" w:rsidR="00582281" w:rsidRPr="000412A1" w:rsidRDefault="00582281" w:rsidP="00AA72EF">
      <w:pPr>
        <w:tabs>
          <w:tab w:val="left" w:pos="425"/>
        </w:tabs>
        <w:spacing w:line="480" w:lineRule="auto"/>
        <w:rPr>
          <w:sz w:val="22"/>
          <w:szCs w:val="22"/>
        </w:rPr>
      </w:pPr>
    </w:p>
    <w:p w14:paraId="2B73B55F" w14:textId="1928EE7A" w:rsidR="00203457" w:rsidRPr="000412A1" w:rsidRDefault="00582281" w:rsidP="00582281">
      <w:pPr>
        <w:rPr>
          <w:sz w:val="22"/>
          <w:szCs w:val="22"/>
        </w:rPr>
      </w:pPr>
      <w:r w:rsidRPr="009A0A82">
        <w:rPr>
          <w:b/>
          <w:bCs/>
          <w:sz w:val="22"/>
          <w:szCs w:val="22"/>
        </w:rPr>
        <w:t>Table 2</w:t>
      </w:r>
      <w:r w:rsidR="00203457" w:rsidRPr="009A0A82">
        <w:rPr>
          <w:b/>
          <w:bCs/>
          <w:sz w:val="22"/>
          <w:szCs w:val="22"/>
        </w:rPr>
        <w:t>.</w:t>
      </w:r>
      <w:r w:rsidR="00203457" w:rsidRPr="000412A1">
        <w:rPr>
          <w:sz w:val="22"/>
          <w:szCs w:val="22"/>
        </w:rPr>
        <w:t xml:space="preserve"> Kinetic parameters of </w:t>
      </w:r>
      <w:proofErr w:type="spellStart"/>
      <w:r w:rsidR="00203457" w:rsidRPr="000412A1">
        <w:rPr>
          <w:sz w:val="22"/>
          <w:szCs w:val="22"/>
        </w:rPr>
        <w:t>Gompertz</w:t>
      </w:r>
      <w:proofErr w:type="spellEnd"/>
      <w:r w:rsidR="00203457" w:rsidRPr="000412A1">
        <w:rPr>
          <w:sz w:val="22"/>
          <w:szCs w:val="22"/>
        </w:rPr>
        <w:t xml:space="preserve"> adjustment.</w:t>
      </w:r>
    </w:p>
    <w:p w14:paraId="52517CBC" w14:textId="77777777" w:rsidR="00CB231F" w:rsidRPr="000412A1" w:rsidRDefault="00CB231F" w:rsidP="00582281">
      <w:pPr>
        <w:rPr>
          <w:i/>
        </w:rPr>
      </w:pPr>
    </w:p>
    <w:tbl>
      <w:tblPr>
        <w:tblW w:w="5271" w:type="dxa"/>
        <w:tblCellMar>
          <w:left w:w="70" w:type="dxa"/>
          <w:right w:w="70" w:type="dxa"/>
        </w:tblCellMar>
        <w:tblLook w:val="04A0" w:firstRow="1" w:lastRow="0" w:firstColumn="1" w:lastColumn="0" w:noHBand="0" w:noVBand="1"/>
      </w:tblPr>
      <w:tblGrid>
        <w:gridCol w:w="993"/>
        <w:gridCol w:w="1701"/>
        <w:gridCol w:w="1361"/>
        <w:gridCol w:w="1216"/>
      </w:tblGrid>
      <w:tr w:rsidR="00203457" w:rsidRPr="000412A1" w14:paraId="5038B0F6" w14:textId="77777777" w:rsidTr="00203457">
        <w:trPr>
          <w:trHeight w:val="300"/>
        </w:trPr>
        <w:tc>
          <w:tcPr>
            <w:tcW w:w="993" w:type="dxa"/>
            <w:tcBorders>
              <w:top w:val="single" w:sz="4" w:space="0" w:color="auto"/>
              <w:left w:val="nil"/>
              <w:bottom w:val="single" w:sz="4" w:space="0" w:color="auto"/>
              <w:right w:val="nil"/>
            </w:tcBorders>
            <w:shd w:val="clear" w:color="auto" w:fill="auto"/>
            <w:noWrap/>
            <w:vAlign w:val="center"/>
            <w:hideMark/>
          </w:tcPr>
          <w:p w14:paraId="1101D7CE" w14:textId="77777777" w:rsidR="00203457" w:rsidRPr="000412A1" w:rsidRDefault="00203457" w:rsidP="00203457">
            <w:pPr>
              <w:spacing w:line="480" w:lineRule="auto"/>
              <w:jc w:val="center"/>
              <w:rPr>
                <w:b/>
                <w:color w:val="000000"/>
                <w:sz w:val="22"/>
                <w:szCs w:val="22"/>
                <w:lang w:eastAsia="es-ES"/>
              </w:rPr>
            </w:pPr>
            <w:r w:rsidRPr="000412A1">
              <w:rPr>
                <w:b/>
                <w:color w:val="000000"/>
                <w:sz w:val="22"/>
                <w:szCs w:val="22"/>
                <w:lang w:eastAsia="es-ES"/>
              </w:rPr>
              <w:t>Sample</w:t>
            </w:r>
          </w:p>
        </w:tc>
        <w:tc>
          <w:tcPr>
            <w:tcW w:w="1701" w:type="dxa"/>
            <w:tcBorders>
              <w:top w:val="single" w:sz="4" w:space="0" w:color="auto"/>
              <w:left w:val="nil"/>
              <w:bottom w:val="single" w:sz="4" w:space="0" w:color="auto"/>
              <w:right w:val="nil"/>
            </w:tcBorders>
            <w:shd w:val="clear" w:color="auto" w:fill="auto"/>
            <w:noWrap/>
            <w:vAlign w:val="center"/>
            <w:hideMark/>
          </w:tcPr>
          <w:p w14:paraId="0EC0A898" w14:textId="77777777" w:rsidR="00203457" w:rsidRPr="000412A1" w:rsidRDefault="00203457" w:rsidP="00203457">
            <w:pPr>
              <w:spacing w:line="480" w:lineRule="auto"/>
              <w:jc w:val="center"/>
              <w:rPr>
                <w:b/>
                <w:color w:val="000000"/>
                <w:sz w:val="22"/>
                <w:szCs w:val="22"/>
                <w:vertAlign w:val="subscript"/>
                <w:lang w:eastAsia="es-ES"/>
              </w:rPr>
            </w:pPr>
            <w:proofErr w:type="spellStart"/>
            <w:r w:rsidRPr="000412A1">
              <w:rPr>
                <w:b/>
                <w:color w:val="000000"/>
                <w:sz w:val="22"/>
                <w:szCs w:val="22"/>
                <w:lang w:eastAsia="es-ES"/>
              </w:rPr>
              <w:t>P</w:t>
            </w:r>
            <w:r w:rsidRPr="000412A1">
              <w:rPr>
                <w:b/>
                <w:color w:val="000000"/>
                <w:sz w:val="22"/>
                <w:szCs w:val="22"/>
                <w:vertAlign w:val="subscript"/>
                <w:lang w:eastAsia="es-ES"/>
              </w:rPr>
              <w:t>max</w:t>
            </w:r>
            <w:proofErr w:type="spellEnd"/>
          </w:p>
          <w:p w14:paraId="10108FE3" w14:textId="002BB039" w:rsidR="00203457" w:rsidRPr="000412A1" w:rsidRDefault="00203457" w:rsidP="00203457">
            <w:pPr>
              <w:spacing w:line="480" w:lineRule="auto"/>
              <w:ind w:right="-71"/>
              <w:jc w:val="center"/>
              <w:rPr>
                <w:b/>
                <w:color w:val="000000"/>
                <w:sz w:val="22"/>
                <w:szCs w:val="22"/>
                <w:lang w:eastAsia="es-ES"/>
              </w:rPr>
            </w:pPr>
            <w:r w:rsidRPr="000412A1">
              <w:rPr>
                <w:b/>
                <w:color w:val="000000"/>
                <w:sz w:val="22"/>
                <w:szCs w:val="22"/>
                <w:lang w:eastAsia="es-ES"/>
              </w:rPr>
              <w:t>(</w:t>
            </w:r>
            <w:proofErr w:type="spellStart"/>
            <w:r w:rsidRPr="000412A1">
              <w:rPr>
                <w:b/>
                <w:sz w:val="22"/>
                <w:szCs w:val="22"/>
              </w:rPr>
              <w:t>L</w:t>
            </w:r>
            <w:r w:rsidRPr="000412A1">
              <w:rPr>
                <w:b/>
                <w:sz w:val="22"/>
                <w:szCs w:val="22"/>
                <w:vertAlign w:val="subscript"/>
              </w:rPr>
              <w:t>methane</w:t>
            </w:r>
            <w:proofErr w:type="spellEnd"/>
            <w:r w:rsidRPr="000412A1">
              <w:rPr>
                <w:b/>
                <w:sz w:val="22"/>
                <w:szCs w:val="22"/>
              </w:rPr>
              <w:t xml:space="preserve"> </w:t>
            </w:r>
            <w:proofErr w:type="spellStart"/>
            <w:r w:rsidRPr="000412A1">
              <w:rPr>
                <w:b/>
                <w:sz w:val="22"/>
                <w:szCs w:val="22"/>
              </w:rPr>
              <w:t>kgVS</w:t>
            </w:r>
            <w:proofErr w:type="spellEnd"/>
            <w:r w:rsidR="0037723D" w:rsidRPr="000412A1">
              <w:rPr>
                <w:b/>
                <w:sz w:val="22"/>
                <w:szCs w:val="22"/>
                <w:vertAlign w:val="superscript"/>
              </w:rPr>
              <w:t>–</w:t>
            </w:r>
            <w:r w:rsidRPr="000412A1">
              <w:rPr>
                <w:b/>
                <w:sz w:val="22"/>
                <w:szCs w:val="22"/>
                <w:vertAlign w:val="superscript"/>
              </w:rPr>
              <w:t>1</w:t>
            </w:r>
            <w:r w:rsidRPr="000412A1">
              <w:rPr>
                <w:b/>
                <w:color w:val="000000"/>
                <w:sz w:val="22"/>
                <w:szCs w:val="22"/>
                <w:lang w:eastAsia="es-ES"/>
              </w:rPr>
              <w:t>)</w:t>
            </w:r>
          </w:p>
        </w:tc>
        <w:tc>
          <w:tcPr>
            <w:tcW w:w="1361" w:type="dxa"/>
            <w:tcBorders>
              <w:top w:val="single" w:sz="4" w:space="0" w:color="auto"/>
              <w:left w:val="nil"/>
              <w:bottom w:val="single" w:sz="4" w:space="0" w:color="auto"/>
              <w:right w:val="nil"/>
            </w:tcBorders>
            <w:shd w:val="clear" w:color="auto" w:fill="auto"/>
            <w:noWrap/>
            <w:vAlign w:val="center"/>
            <w:hideMark/>
          </w:tcPr>
          <w:p w14:paraId="666CA193" w14:textId="77777777" w:rsidR="00203457" w:rsidRPr="000412A1" w:rsidRDefault="00203457" w:rsidP="00203457">
            <w:pPr>
              <w:spacing w:line="480" w:lineRule="auto"/>
              <w:jc w:val="center"/>
              <w:rPr>
                <w:b/>
                <w:color w:val="000000"/>
                <w:sz w:val="22"/>
                <w:szCs w:val="22"/>
                <w:lang w:eastAsia="es-ES"/>
              </w:rPr>
            </w:pPr>
            <w:proofErr w:type="spellStart"/>
            <w:r w:rsidRPr="000412A1">
              <w:rPr>
                <w:b/>
                <w:color w:val="000000"/>
                <w:sz w:val="22"/>
                <w:szCs w:val="22"/>
                <w:lang w:eastAsia="es-ES"/>
              </w:rPr>
              <w:t>R</w:t>
            </w:r>
            <w:r w:rsidRPr="000412A1">
              <w:rPr>
                <w:b/>
                <w:color w:val="000000"/>
                <w:sz w:val="22"/>
                <w:szCs w:val="22"/>
                <w:vertAlign w:val="subscript"/>
                <w:lang w:eastAsia="es-ES"/>
              </w:rPr>
              <w:t>max</w:t>
            </w:r>
            <w:proofErr w:type="spellEnd"/>
          </w:p>
          <w:p w14:paraId="707F6163" w14:textId="271438F9" w:rsidR="00203457" w:rsidRPr="000412A1" w:rsidRDefault="00203457" w:rsidP="00203457">
            <w:pPr>
              <w:spacing w:line="480" w:lineRule="auto"/>
              <w:jc w:val="center"/>
              <w:rPr>
                <w:b/>
                <w:color w:val="000000"/>
                <w:sz w:val="22"/>
                <w:szCs w:val="22"/>
                <w:lang w:eastAsia="es-ES"/>
              </w:rPr>
            </w:pPr>
            <w:r w:rsidRPr="000412A1">
              <w:rPr>
                <w:b/>
                <w:color w:val="000000"/>
                <w:sz w:val="22"/>
                <w:szCs w:val="22"/>
                <w:lang w:eastAsia="es-ES"/>
              </w:rPr>
              <w:t>(mL d</w:t>
            </w:r>
            <w:r w:rsidR="0037723D" w:rsidRPr="000412A1">
              <w:rPr>
                <w:b/>
                <w:color w:val="000000"/>
                <w:sz w:val="22"/>
                <w:szCs w:val="22"/>
                <w:vertAlign w:val="superscript"/>
                <w:lang w:eastAsia="es-ES"/>
              </w:rPr>
              <w:t>–</w:t>
            </w:r>
            <w:r w:rsidRPr="000412A1">
              <w:rPr>
                <w:b/>
                <w:color w:val="000000"/>
                <w:sz w:val="22"/>
                <w:szCs w:val="22"/>
                <w:vertAlign w:val="superscript"/>
                <w:lang w:eastAsia="es-ES"/>
              </w:rPr>
              <w:t>1</w:t>
            </w:r>
            <w:r w:rsidRPr="000412A1">
              <w:rPr>
                <w:b/>
                <w:color w:val="000000"/>
                <w:sz w:val="22"/>
                <w:szCs w:val="22"/>
                <w:lang w:eastAsia="es-ES"/>
              </w:rPr>
              <w:t>)</w:t>
            </w:r>
          </w:p>
        </w:tc>
        <w:tc>
          <w:tcPr>
            <w:tcW w:w="1216" w:type="dxa"/>
            <w:tcBorders>
              <w:top w:val="single" w:sz="4" w:space="0" w:color="auto"/>
              <w:left w:val="nil"/>
              <w:bottom w:val="single" w:sz="4" w:space="0" w:color="auto"/>
              <w:right w:val="nil"/>
            </w:tcBorders>
            <w:shd w:val="clear" w:color="auto" w:fill="auto"/>
            <w:noWrap/>
            <w:vAlign w:val="center"/>
            <w:hideMark/>
          </w:tcPr>
          <w:p w14:paraId="61C7FCC3" w14:textId="4DDA8020" w:rsidR="00203457" w:rsidRPr="000412A1" w:rsidRDefault="00203457" w:rsidP="00203457">
            <w:pPr>
              <w:spacing w:line="480" w:lineRule="auto"/>
              <w:jc w:val="center"/>
              <w:rPr>
                <w:b/>
                <w:color w:val="000000"/>
                <w:sz w:val="22"/>
                <w:szCs w:val="22"/>
                <w:lang w:eastAsia="es-ES"/>
              </w:rPr>
            </w:pPr>
            <w:r w:rsidRPr="000412A1">
              <w:rPr>
                <w:b/>
                <w:color w:val="000000"/>
                <w:sz w:val="22"/>
                <w:szCs w:val="22"/>
                <w:lang w:eastAsia="es-ES"/>
              </w:rPr>
              <w:t>λ (</w:t>
            </w:r>
            <w:r w:rsidR="001E7DCA" w:rsidRPr="000412A1">
              <w:rPr>
                <w:b/>
                <w:color w:val="000000"/>
                <w:sz w:val="22"/>
                <w:szCs w:val="22"/>
                <w:lang w:eastAsia="es-ES"/>
              </w:rPr>
              <w:t>Days</w:t>
            </w:r>
            <w:r w:rsidRPr="000412A1">
              <w:rPr>
                <w:b/>
                <w:color w:val="000000"/>
                <w:sz w:val="22"/>
                <w:szCs w:val="22"/>
                <w:lang w:eastAsia="es-ES"/>
              </w:rPr>
              <w:t>)</w:t>
            </w:r>
          </w:p>
        </w:tc>
      </w:tr>
      <w:tr w:rsidR="00203457" w:rsidRPr="000412A1" w14:paraId="400A6943" w14:textId="77777777" w:rsidTr="00203457">
        <w:trPr>
          <w:trHeight w:val="315"/>
        </w:trPr>
        <w:tc>
          <w:tcPr>
            <w:tcW w:w="993" w:type="dxa"/>
            <w:tcBorders>
              <w:top w:val="single" w:sz="4" w:space="0" w:color="auto"/>
              <w:left w:val="nil"/>
              <w:bottom w:val="nil"/>
              <w:right w:val="nil"/>
            </w:tcBorders>
            <w:shd w:val="clear" w:color="auto" w:fill="auto"/>
            <w:noWrap/>
            <w:vAlign w:val="center"/>
            <w:hideMark/>
          </w:tcPr>
          <w:p w14:paraId="29E9AB54" w14:textId="77777777" w:rsidR="00203457" w:rsidRPr="000412A1" w:rsidRDefault="00203457" w:rsidP="00203457">
            <w:pPr>
              <w:spacing w:line="480" w:lineRule="auto"/>
              <w:rPr>
                <w:b/>
                <w:color w:val="000000"/>
                <w:sz w:val="22"/>
                <w:szCs w:val="22"/>
                <w:lang w:eastAsia="es-ES"/>
              </w:rPr>
            </w:pPr>
            <w:r w:rsidRPr="000412A1">
              <w:rPr>
                <w:b/>
                <w:color w:val="000000"/>
                <w:sz w:val="22"/>
                <w:szCs w:val="22"/>
                <w:lang w:eastAsia="es-ES"/>
              </w:rPr>
              <w:t>WAS</w:t>
            </w:r>
          </w:p>
        </w:tc>
        <w:tc>
          <w:tcPr>
            <w:tcW w:w="1701" w:type="dxa"/>
            <w:tcBorders>
              <w:top w:val="single" w:sz="4" w:space="0" w:color="auto"/>
              <w:left w:val="nil"/>
              <w:bottom w:val="nil"/>
              <w:right w:val="nil"/>
            </w:tcBorders>
            <w:shd w:val="clear" w:color="auto" w:fill="auto"/>
            <w:noWrap/>
            <w:vAlign w:val="center"/>
            <w:hideMark/>
          </w:tcPr>
          <w:p w14:paraId="045E86D1" w14:textId="2139FD59"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253</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15</w:t>
            </w:r>
          </w:p>
        </w:tc>
        <w:tc>
          <w:tcPr>
            <w:tcW w:w="1361" w:type="dxa"/>
            <w:tcBorders>
              <w:top w:val="single" w:sz="4" w:space="0" w:color="auto"/>
              <w:left w:val="nil"/>
              <w:bottom w:val="nil"/>
              <w:right w:val="nil"/>
            </w:tcBorders>
            <w:shd w:val="clear" w:color="auto" w:fill="auto"/>
            <w:noWrap/>
            <w:vAlign w:val="center"/>
            <w:hideMark/>
          </w:tcPr>
          <w:p w14:paraId="3966B679" w14:textId="71C734DC"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19.21</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1.23</w:t>
            </w:r>
          </w:p>
        </w:tc>
        <w:tc>
          <w:tcPr>
            <w:tcW w:w="1216" w:type="dxa"/>
            <w:tcBorders>
              <w:top w:val="single" w:sz="4" w:space="0" w:color="auto"/>
              <w:left w:val="nil"/>
              <w:bottom w:val="nil"/>
              <w:right w:val="nil"/>
            </w:tcBorders>
            <w:shd w:val="clear" w:color="auto" w:fill="auto"/>
            <w:noWrap/>
            <w:vAlign w:val="center"/>
            <w:hideMark/>
          </w:tcPr>
          <w:p w14:paraId="347322CA" w14:textId="18A07595"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5.44</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0.21</w:t>
            </w:r>
          </w:p>
        </w:tc>
      </w:tr>
      <w:tr w:rsidR="00203457" w:rsidRPr="000412A1" w14:paraId="78BC5FB3" w14:textId="77777777" w:rsidTr="00203457">
        <w:trPr>
          <w:trHeight w:val="300"/>
        </w:trPr>
        <w:tc>
          <w:tcPr>
            <w:tcW w:w="993" w:type="dxa"/>
            <w:tcBorders>
              <w:top w:val="nil"/>
              <w:left w:val="nil"/>
              <w:bottom w:val="nil"/>
              <w:right w:val="nil"/>
            </w:tcBorders>
            <w:shd w:val="clear" w:color="auto" w:fill="auto"/>
            <w:noWrap/>
            <w:vAlign w:val="center"/>
            <w:hideMark/>
          </w:tcPr>
          <w:p w14:paraId="6A750CEC" w14:textId="77777777" w:rsidR="00203457" w:rsidRPr="000412A1" w:rsidRDefault="00203457" w:rsidP="00203457">
            <w:pPr>
              <w:spacing w:line="480" w:lineRule="auto"/>
              <w:rPr>
                <w:b/>
                <w:color w:val="000000"/>
                <w:sz w:val="22"/>
                <w:szCs w:val="22"/>
                <w:lang w:eastAsia="es-ES"/>
              </w:rPr>
            </w:pPr>
            <w:r w:rsidRPr="000412A1">
              <w:rPr>
                <w:b/>
                <w:color w:val="000000"/>
                <w:sz w:val="22"/>
                <w:szCs w:val="22"/>
                <w:lang w:eastAsia="es-ES"/>
              </w:rPr>
              <w:t>T1</w:t>
            </w:r>
          </w:p>
        </w:tc>
        <w:tc>
          <w:tcPr>
            <w:tcW w:w="1701" w:type="dxa"/>
            <w:tcBorders>
              <w:top w:val="nil"/>
              <w:left w:val="nil"/>
              <w:bottom w:val="nil"/>
              <w:right w:val="nil"/>
            </w:tcBorders>
            <w:shd w:val="clear" w:color="auto" w:fill="auto"/>
            <w:noWrap/>
            <w:vAlign w:val="center"/>
            <w:hideMark/>
          </w:tcPr>
          <w:p w14:paraId="277DB4EB" w14:textId="17AE9FED"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288</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12</w:t>
            </w:r>
          </w:p>
        </w:tc>
        <w:tc>
          <w:tcPr>
            <w:tcW w:w="1361" w:type="dxa"/>
            <w:tcBorders>
              <w:top w:val="nil"/>
              <w:left w:val="nil"/>
              <w:bottom w:val="nil"/>
              <w:right w:val="nil"/>
            </w:tcBorders>
            <w:shd w:val="clear" w:color="auto" w:fill="auto"/>
            <w:noWrap/>
            <w:vAlign w:val="center"/>
            <w:hideMark/>
          </w:tcPr>
          <w:p w14:paraId="1C926687" w14:textId="0243BDA2"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16.15</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1.42</w:t>
            </w:r>
          </w:p>
        </w:tc>
        <w:tc>
          <w:tcPr>
            <w:tcW w:w="1216" w:type="dxa"/>
            <w:tcBorders>
              <w:top w:val="nil"/>
              <w:left w:val="nil"/>
              <w:bottom w:val="nil"/>
              <w:right w:val="nil"/>
            </w:tcBorders>
            <w:shd w:val="clear" w:color="auto" w:fill="auto"/>
            <w:noWrap/>
            <w:vAlign w:val="center"/>
            <w:hideMark/>
          </w:tcPr>
          <w:p w14:paraId="377403A3" w14:textId="7F63DD6D"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7.30</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0.23</w:t>
            </w:r>
          </w:p>
        </w:tc>
      </w:tr>
      <w:tr w:rsidR="00203457" w:rsidRPr="000412A1" w14:paraId="1B6579CD" w14:textId="77777777" w:rsidTr="00203457">
        <w:trPr>
          <w:trHeight w:val="300"/>
        </w:trPr>
        <w:tc>
          <w:tcPr>
            <w:tcW w:w="993" w:type="dxa"/>
            <w:tcBorders>
              <w:top w:val="nil"/>
              <w:left w:val="nil"/>
              <w:bottom w:val="nil"/>
              <w:right w:val="nil"/>
            </w:tcBorders>
            <w:shd w:val="clear" w:color="auto" w:fill="auto"/>
            <w:noWrap/>
            <w:vAlign w:val="center"/>
            <w:hideMark/>
          </w:tcPr>
          <w:p w14:paraId="6DB04DE9" w14:textId="77777777" w:rsidR="00203457" w:rsidRPr="000412A1" w:rsidRDefault="00203457" w:rsidP="00203457">
            <w:pPr>
              <w:spacing w:line="480" w:lineRule="auto"/>
              <w:rPr>
                <w:b/>
                <w:color w:val="000000"/>
                <w:sz w:val="22"/>
                <w:szCs w:val="22"/>
                <w:lang w:eastAsia="es-ES"/>
              </w:rPr>
            </w:pPr>
            <w:r w:rsidRPr="000412A1">
              <w:rPr>
                <w:b/>
                <w:color w:val="000000"/>
                <w:sz w:val="22"/>
                <w:szCs w:val="22"/>
                <w:lang w:eastAsia="es-ES"/>
              </w:rPr>
              <w:t>T2</w:t>
            </w:r>
          </w:p>
        </w:tc>
        <w:tc>
          <w:tcPr>
            <w:tcW w:w="1701" w:type="dxa"/>
            <w:tcBorders>
              <w:top w:val="nil"/>
              <w:left w:val="nil"/>
              <w:bottom w:val="nil"/>
              <w:right w:val="nil"/>
            </w:tcBorders>
            <w:shd w:val="clear" w:color="auto" w:fill="auto"/>
            <w:noWrap/>
            <w:vAlign w:val="center"/>
            <w:hideMark/>
          </w:tcPr>
          <w:p w14:paraId="1FA9D577" w14:textId="64331B63"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237</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10</w:t>
            </w:r>
          </w:p>
        </w:tc>
        <w:tc>
          <w:tcPr>
            <w:tcW w:w="1361" w:type="dxa"/>
            <w:tcBorders>
              <w:top w:val="nil"/>
              <w:left w:val="nil"/>
              <w:bottom w:val="nil"/>
              <w:right w:val="nil"/>
            </w:tcBorders>
            <w:shd w:val="clear" w:color="auto" w:fill="auto"/>
            <w:noWrap/>
            <w:vAlign w:val="center"/>
            <w:hideMark/>
          </w:tcPr>
          <w:p w14:paraId="516EE669" w14:textId="6460D48E"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8.65</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1.33</w:t>
            </w:r>
          </w:p>
        </w:tc>
        <w:tc>
          <w:tcPr>
            <w:tcW w:w="1216" w:type="dxa"/>
            <w:tcBorders>
              <w:top w:val="nil"/>
              <w:left w:val="nil"/>
              <w:bottom w:val="nil"/>
              <w:right w:val="nil"/>
            </w:tcBorders>
            <w:shd w:val="clear" w:color="auto" w:fill="auto"/>
            <w:noWrap/>
            <w:vAlign w:val="center"/>
            <w:hideMark/>
          </w:tcPr>
          <w:p w14:paraId="268A1C1E" w14:textId="71A1349D"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7.63</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0.24</w:t>
            </w:r>
          </w:p>
        </w:tc>
      </w:tr>
      <w:tr w:rsidR="00203457" w:rsidRPr="000412A1" w14:paraId="32F67BA3" w14:textId="77777777" w:rsidTr="00203457">
        <w:trPr>
          <w:trHeight w:val="300"/>
        </w:trPr>
        <w:tc>
          <w:tcPr>
            <w:tcW w:w="993" w:type="dxa"/>
            <w:tcBorders>
              <w:top w:val="nil"/>
              <w:left w:val="nil"/>
              <w:bottom w:val="nil"/>
              <w:right w:val="nil"/>
            </w:tcBorders>
            <w:shd w:val="clear" w:color="auto" w:fill="auto"/>
            <w:noWrap/>
            <w:vAlign w:val="center"/>
            <w:hideMark/>
          </w:tcPr>
          <w:p w14:paraId="1EFE6B37" w14:textId="77777777" w:rsidR="00203457" w:rsidRPr="000412A1" w:rsidRDefault="00203457" w:rsidP="00203457">
            <w:pPr>
              <w:spacing w:line="480" w:lineRule="auto"/>
              <w:rPr>
                <w:b/>
                <w:color w:val="000000"/>
                <w:sz w:val="22"/>
                <w:szCs w:val="22"/>
                <w:lang w:eastAsia="es-ES"/>
              </w:rPr>
            </w:pPr>
            <w:r w:rsidRPr="000412A1">
              <w:rPr>
                <w:b/>
                <w:color w:val="000000"/>
                <w:sz w:val="22"/>
                <w:szCs w:val="22"/>
                <w:lang w:eastAsia="es-ES"/>
              </w:rPr>
              <w:t>T3</w:t>
            </w:r>
          </w:p>
        </w:tc>
        <w:tc>
          <w:tcPr>
            <w:tcW w:w="1701" w:type="dxa"/>
            <w:tcBorders>
              <w:top w:val="nil"/>
              <w:left w:val="nil"/>
              <w:bottom w:val="nil"/>
              <w:right w:val="nil"/>
            </w:tcBorders>
            <w:shd w:val="clear" w:color="auto" w:fill="auto"/>
            <w:noWrap/>
            <w:vAlign w:val="center"/>
            <w:hideMark/>
          </w:tcPr>
          <w:p w14:paraId="2163EA3C" w14:textId="37842959"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162</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6</w:t>
            </w:r>
          </w:p>
        </w:tc>
        <w:tc>
          <w:tcPr>
            <w:tcW w:w="1361" w:type="dxa"/>
            <w:tcBorders>
              <w:top w:val="nil"/>
              <w:left w:val="nil"/>
              <w:bottom w:val="nil"/>
              <w:right w:val="nil"/>
            </w:tcBorders>
            <w:shd w:val="clear" w:color="auto" w:fill="auto"/>
            <w:noWrap/>
            <w:vAlign w:val="center"/>
            <w:hideMark/>
          </w:tcPr>
          <w:p w14:paraId="111DBDB1" w14:textId="7E177141"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4.52</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0.89</w:t>
            </w:r>
          </w:p>
        </w:tc>
        <w:tc>
          <w:tcPr>
            <w:tcW w:w="1216" w:type="dxa"/>
            <w:tcBorders>
              <w:top w:val="nil"/>
              <w:left w:val="nil"/>
              <w:bottom w:val="nil"/>
              <w:right w:val="nil"/>
            </w:tcBorders>
            <w:shd w:val="clear" w:color="auto" w:fill="auto"/>
            <w:noWrap/>
            <w:vAlign w:val="center"/>
            <w:hideMark/>
          </w:tcPr>
          <w:p w14:paraId="3D02E420" w14:textId="69554099"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6.40</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0.15</w:t>
            </w:r>
          </w:p>
        </w:tc>
      </w:tr>
      <w:tr w:rsidR="00203457" w:rsidRPr="000412A1" w14:paraId="06356077" w14:textId="77777777" w:rsidTr="00203457">
        <w:trPr>
          <w:trHeight w:val="300"/>
        </w:trPr>
        <w:tc>
          <w:tcPr>
            <w:tcW w:w="993" w:type="dxa"/>
            <w:tcBorders>
              <w:top w:val="nil"/>
              <w:left w:val="nil"/>
              <w:right w:val="nil"/>
            </w:tcBorders>
            <w:shd w:val="clear" w:color="auto" w:fill="auto"/>
            <w:noWrap/>
            <w:vAlign w:val="center"/>
            <w:hideMark/>
          </w:tcPr>
          <w:p w14:paraId="34F1F827" w14:textId="77777777" w:rsidR="00203457" w:rsidRPr="000412A1" w:rsidRDefault="00203457" w:rsidP="00203457">
            <w:pPr>
              <w:spacing w:line="480" w:lineRule="auto"/>
              <w:rPr>
                <w:b/>
                <w:color w:val="000000"/>
                <w:sz w:val="22"/>
                <w:szCs w:val="22"/>
                <w:lang w:eastAsia="es-ES"/>
              </w:rPr>
            </w:pPr>
            <w:r w:rsidRPr="000412A1">
              <w:rPr>
                <w:b/>
                <w:color w:val="000000"/>
                <w:sz w:val="22"/>
                <w:szCs w:val="22"/>
                <w:lang w:eastAsia="es-ES"/>
              </w:rPr>
              <w:t>T4</w:t>
            </w:r>
          </w:p>
        </w:tc>
        <w:tc>
          <w:tcPr>
            <w:tcW w:w="1701" w:type="dxa"/>
            <w:tcBorders>
              <w:top w:val="nil"/>
              <w:left w:val="nil"/>
              <w:right w:val="nil"/>
            </w:tcBorders>
            <w:shd w:val="clear" w:color="auto" w:fill="auto"/>
            <w:noWrap/>
            <w:vAlign w:val="center"/>
            <w:hideMark/>
          </w:tcPr>
          <w:p w14:paraId="41C9C523" w14:textId="593EFF33"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249</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15</w:t>
            </w:r>
          </w:p>
        </w:tc>
        <w:tc>
          <w:tcPr>
            <w:tcW w:w="1361" w:type="dxa"/>
            <w:tcBorders>
              <w:top w:val="nil"/>
              <w:left w:val="nil"/>
              <w:right w:val="nil"/>
            </w:tcBorders>
            <w:shd w:val="clear" w:color="auto" w:fill="auto"/>
            <w:noWrap/>
            <w:vAlign w:val="center"/>
            <w:hideMark/>
          </w:tcPr>
          <w:p w14:paraId="749CA8CD" w14:textId="080D3784"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19.35</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2.65</w:t>
            </w:r>
          </w:p>
        </w:tc>
        <w:tc>
          <w:tcPr>
            <w:tcW w:w="1216" w:type="dxa"/>
            <w:tcBorders>
              <w:top w:val="nil"/>
              <w:left w:val="nil"/>
              <w:right w:val="nil"/>
            </w:tcBorders>
            <w:shd w:val="clear" w:color="auto" w:fill="auto"/>
            <w:noWrap/>
            <w:vAlign w:val="center"/>
            <w:hideMark/>
          </w:tcPr>
          <w:p w14:paraId="3904BF8D" w14:textId="2F397957"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6.11</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0.13</w:t>
            </w:r>
          </w:p>
        </w:tc>
      </w:tr>
      <w:tr w:rsidR="00203457" w:rsidRPr="000412A1" w14:paraId="598026D2" w14:textId="77777777" w:rsidTr="00203457">
        <w:trPr>
          <w:trHeight w:val="300"/>
        </w:trPr>
        <w:tc>
          <w:tcPr>
            <w:tcW w:w="993" w:type="dxa"/>
            <w:tcBorders>
              <w:top w:val="nil"/>
              <w:left w:val="nil"/>
              <w:bottom w:val="single" w:sz="4" w:space="0" w:color="auto"/>
              <w:right w:val="nil"/>
            </w:tcBorders>
            <w:shd w:val="clear" w:color="auto" w:fill="auto"/>
            <w:noWrap/>
            <w:vAlign w:val="center"/>
            <w:hideMark/>
          </w:tcPr>
          <w:p w14:paraId="48C25958" w14:textId="77777777" w:rsidR="00203457" w:rsidRPr="000412A1" w:rsidRDefault="00203457" w:rsidP="00203457">
            <w:pPr>
              <w:spacing w:line="480" w:lineRule="auto"/>
              <w:rPr>
                <w:b/>
                <w:color w:val="000000"/>
                <w:sz w:val="22"/>
                <w:szCs w:val="22"/>
                <w:lang w:eastAsia="es-ES"/>
              </w:rPr>
            </w:pPr>
            <w:r w:rsidRPr="000412A1">
              <w:rPr>
                <w:b/>
                <w:color w:val="000000"/>
                <w:sz w:val="22"/>
                <w:szCs w:val="22"/>
                <w:lang w:eastAsia="es-ES"/>
              </w:rPr>
              <w:t>T5</w:t>
            </w:r>
          </w:p>
        </w:tc>
        <w:tc>
          <w:tcPr>
            <w:tcW w:w="1701" w:type="dxa"/>
            <w:tcBorders>
              <w:top w:val="nil"/>
              <w:left w:val="nil"/>
              <w:bottom w:val="single" w:sz="4" w:space="0" w:color="auto"/>
              <w:right w:val="nil"/>
            </w:tcBorders>
            <w:shd w:val="clear" w:color="auto" w:fill="auto"/>
            <w:noWrap/>
            <w:vAlign w:val="center"/>
            <w:hideMark/>
          </w:tcPr>
          <w:p w14:paraId="62EA73F0" w14:textId="3018051D"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298</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13</w:t>
            </w:r>
          </w:p>
        </w:tc>
        <w:tc>
          <w:tcPr>
            <w:tcW w:w="1361" w:type="dxa"/>
            <w:tcBorders>
              <w:top w:val="nil"/>
              <w:left w:val="nil"/>
              <w:bottom w:val="single" w:sz="4" w:space="0" w:color="auto"/>
              <w:right w:val="nil"/>
            </w:tcBorders>
            <w:shd w:val="clear" w:color="auto" w:fill="auto"/>
            <w:noWrap/>
            <w:vAlign w:val="center"/>
            <w:hideMark/>
          </w:tcPr>
          <w:p w14:paraId="576E9866" w14:textId="351670C3"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10.36</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1.89</w:t>
            </w:r>
          </w:p>
        </w:tc>
        <w:tc>
          <w:tcPr>
            <w:tcW w:w="1216" w:type="dxa"/>
            <w:tcBorders>
              <w:top w:val="nil"/>
              <w:left w:val="nil"/>
              <w:bottom w:val="single" w:sz="4" w:space="0" w:color="auto"/>
              <w:right w:val="nil"/>
            </w:tcBorders>
            <w:shd w:val="clear" w:color="auto" w:fill="auto"/>
            <w:noWrap/>
            <w:vAlign w:val="center"/>
            <w:hideMark/>
          </w:tcPr>
          <w:p w14:paraId="48D97591" w14:textId="2FDBC326" w:rsidR="00203457" w:rsidRPr="000412A1" w:rsidRDefault="00203457" w:rsidP="00203457">
            <w:pPr>
              <w:spacing w:line="480" w:lineRule="auto"/>
              <w:jc w:val="center"/>
              <w:rPr>
                <w:color w:val="000000"/>
                <w:sz w:val="22"/>
                <w:szCs w:val="22"/>
                <w:lang w:eastAsia="es-ES"/>
              </w:rPr>
            </w:pPr>
            <w:r w:rsidRPr="000412A1">
              <w:rPr>
                <w:color w:val="000000"/>
                <w:sz w:val="22"/>
                <w:szCs w:val="22"/>
                <w:lang w:eastAsia="es-ES"/>
              </w:rPr>
              <w:t>9.25</w:t>
            </w:r>
            <w:r w:rsidR="001E7DCA" w:rsidRPr="000412A1">
              <w:rPr>
                <w:color w:val="000000"/>
                <w:sz w:val="22"/>
                <w:szCs w:val="22"/>
                <w:lang w:eastAsia="es-ES"/>
              </w:rPr>
              <w:t xml:space="preserve"> </w:t>
            </w:r>
            <w:r w:rsidRPr="000412A1">
              <w:rPr>
                <w:color w:val="000000"/>
                <w:sz w:val="22"/>
                <w:szCs w:val="22"/>
                <w:lang w:eastAsia="es-ES"/>
              </w:rPr>
              <w:t>±</w:t>
            </w:r>
            <w:r w:rsidR="001E7DCA" w:rsidRPr="000412A1">
              <w:rPr>
                <w:color w:val="000000"/>
                <w:sz w:val="22"/>
                <w:szCs w:val="22"/>
                <w:lang w:eastAsia="es-ES"/>
              </w:rPr>
              <w:t xml:space="preserve"> </w:t>
            </w:r>
            <w:r w:rsidRPr="000412A1">
              <w:rPr>
                <w:color w:val="000000"/>
                <w:sz w:val="22"/>
                <w:szCs w:val="22"/>
                <w:lang w:eastAsia="es-ES"/>
              </w:rPr>
              <w:t>0.28</w:t>
            </w:r>
          </w:p>
        </w:tc>
      </w:tr>
    </w:tbl>
    <w:p w14:paraId="307BD48A" w14:textId="77777777" w:rsidR="00203457" w:rsidRPr="000412A1" w:rsidRDefault="00203457" w:rsidP="00C012DA">
      <w:pPr>
        <w:spacing w:line="480" w:lineRule="auto"/>
        <w:rPr>
          <w:noProof/>
          <w:sz w:val="22"/>
          <w:szCs w:val="22"/>
          <w:lang w:eastAsia="en-US"/>
        </w:rPr>
      </w:pPr>
    </w:p>
    <w:p w14:paraId="34256917" w14:textId="552DE643" w:rsidR="006D0B45" w:rsidRPr="000412A1" w:rsidRDefault="00603A66" w:rsidP="00C012DA">
      <w:pPr>
        <w:spacing w:line="480" w:lineRule="auto"/>
        <w:rPr>
          <w:sz w:val="22"/>
          <w:szCs w:val="22"/>
        </w:rPr>
      </w:pPr>
      <w:r w:rsidRPr="000412A1">
        <w:rPr>
          <w:sz w:val="22"/>
          <w:szCs w:val="22"/>
        </w:rPr>
        <w:t xml:space="preserve">The fitted curves of the </w:t>
      </w:r>
      <w:proofErr w:type="spellStart"/>
      <w:r w:rsidRPr="000412A1">
        <w:rPr>
          <w:sz w:val="22"/>
          <w:szCs w:val="22"/>
        </w:rPr>
        <w:t>Gompertz</w:t>
      </w:r>
      <w:proofErr w:type="spellEnd"/>
      <w:r w:rsidRPr="000412A1">
        <w:rPr>
          <w:sz w:val="22"/>
          <w:szCs w:val="22"/>
        </w:rPr>
        <w:t xml:space="preserve"> model are also represented in</w:t>
      </w:r>
      <w:r w:rsidR="000D4D9A" w:rsidRPr="000412A1">
        <w:rPr>
          <w:sz w:val="22"/>
          <w:szCs w:val="22"/>
        </w:rPr>
        <w:t xml:space="preserve"> </w:t>
      </w:r>
      <w:r w:rsidR="00CB231F" w:rsidRPr="000412A1">
        <w:rPr>
          <w:sz w:val="22"/>
          <w:szCs w:val="22"/>
        </w:rPr>
        <w:t>Fig</w:t>
      </w:r>
      <w:r w:rsidR="009B760B">
        <w:rPr>
          <w:sz w:val="22"/>
          <w:szCs w:val="22"/>
        </w:rPr>
        <w:t xml:space="preserve">ure </w:t>
      </w:r>
      <w:r w:rsidR="00CB231F" w:rsidRPr="000412A1">
        <w:rPr>
          <w:sz w:val="22"/>
          <w:szCs w:val="22"/>
        </w:rPr>
        <w:t>3</w:t>
      </w:r>
      <w:r w:rsidR="00FC5F38" w:rsidRPr="000412A1">
        <w:rPr>
          <w:sz w:val="22"/>
          <w:szCs w:val="22"/>
        </w:rPr>
        <w:t>,</w:t>
      </w:r>
      <w:r w:rsidR="00CB231F" w:rsidRPr="000412A1">
        <w:rPr>
          <w:sz w:val="22"/>
          <w:szCs w:val="22"/>
        </w:rPr>
        <w:t xml:space="preserve"> </w:t>
      </w:r>
      <w:r w:rsidR="000D4D9A" w:rsidRPr="000412A1">
        <w:rPr>
          <w:sz w:val="22"/>
          <w:szCs w:val="22"/>
        </w:rPr>
        <w:t>with the</w:t>
      </w:r>
      <w:r w:rsidRPr="000412A1">
        <w:rPr>
          <w:sz w:val="22"/>
          <w:szCs w:val="22"/>
        </w:rPr>
        <w:t xml:space="preserve"> model parameters summarised i</w:t>
      </w:r>
      <w:r w:rsidR="00CB231F" w:rsidRPr="000412A1">
        <w:rPr>
          <w:sz w:val="22"/>
          <w:szCs w:val="22"/>
        </w:rPr>
        <w:t>n Table 2</w:t>
      </w:r>
      <w:r w:rsidRPr="000412A1">
        <w:rPr>
          <w:sz w:val="22"/>
          <w:szCs w:val="22"/>
        </w:rPr>
        <w:t xml:space="preserve">. The curves </w:t>
      </w:r>
      <w:r w:rsidR="00241690" w:rsidRPr="000412A1">
        <w:rPr>
          <w:sz w:val="22"/>
          <w:szCs w:val="22"/>
        </w:rPr>
        <w:t>of methane production show</w:t>
      </w:r>
      <w:r w:rsidR="0012077A" w:rsidRPr="000412A1">
        <w:rPr>
          <w:sz w:val="22"/>
          <w:szCs w:val="22"/>
        </w:rPr>
        <w:t>ed</w:t>
      </w:r>
      <w:r w:rsidR="00241690" w:rsidRPr="000412A1">
        <w:rPr>
          <w:sz w:val="22"/>
          <w:szCs w:val="22"/>
        </w:rPr>
        <w:t xml:space="preserve"> </w:t>
      </w:r>
      <w:r w:rsidRPr="000412A1">
        <w:rPr>
          <w:sz w:val="22"/>
          <w:szCs w:val="22"/>
        </w:rPr>
        <w:t>a sigmoid</w:t>
      </w:r>
      <w:r w:rsidR="009B760B">
        <w:rPr>
          <w:sz w:val="22"/>
          <w:szCs w:val="22"/>
        </w:rPr>
        <w:t>al</w:t>
      </w:r>
      <w:r w:rsidRPr="000412A1">
        <w:rPr>
          <w:sz w:val="22"/>
          <w:szCs w:val="22"/>
        </w:rPr>
        <w:t xml:space="preserve"> profile</w:t>
      </w:r>
      <w:r w:rsidR="000D4D9A" w:rsidRPr="000412A1">
        <w:rPr>
          <w:sz w:val="22"/>
          <w:szCs w:val="22"/>
        </w:rPr>
        <w:t xml:space="preserve"> </w:t>
      </w:r>
      <w:r w:rsidR="00241690" w:rsidRPr="000412A1">
        <w:rPr>
          <w:sz w:val="22"/>
          <w:szCs w:val="22"/>
        </w:rPr>
        <w:t xml:space="preserve">with </w:t>
      </w:r>
      <w:r w:rsidR="007D3E8C" w:rsidRPr="000412A1">
        <w:rPr>
          <w:sz w:val="22"/>
          <w:szCs w:val="22"/>
        </w:rPr>
        <w:t>a</w:t>
      </w:r>
      <w:r w:rsidR="00241690" w:rsidRPr="000412A1">
        <w:rPr>
          <w:sz w:val="22"/>
          <w:szCs w:val="22"/>
        </w:rPr>
        <w:t>n initial</w:t>
      </w:r>
      <w:r w:rsidRPr="000412A1">
        <w:rPr>
          <w:sz w:val="22"/>
          <w:szCs w:val="22"/>
        </w:rPr>
        <w:t xml:space="preserve"> lag phase</w:t>
      </w:r>
      <w:r w:rsidR="00472322" w:rsidRPr="000412A1">
        <w:rPr>
          <w:sz w:val="22"/>
          <w:szCs w:val="22"/>
        </w:rPr>
        <w:t xml:space="preserve"> </w:t>
      </w:r>
      <w:r w:rsidR="0012077A" w:rsidRPr="000412A1">
        <w:rPr>
          <w:sz w:val="22"/>
          <w:szCs w:val="22"/>
        </w:rPr>
        <w:t xml:space="preserve">that may be associated </w:t>
      </w:r>
      <w:r w:rsidR="00472322" w:rsidRPr="000412A1">
        <w:rPr>
          <w:sz w:val="22"/>
          <w:szCs w:val="22"/>
        </w:rPr>
        <w:t xml:space="preserve">with the complexity </w:t>
      </w:r>
      <w:r w:rsidR="0012077A" w:rsidRPr="000412A1">
        <w:rPr>
          <w:sz w:val="22"/>
          <w:szCs w:val="22"/>
        </w:rPr>
        <w:t xml:space="preserve">in </w:t>
      </w:r>
      <w:r w:rsidR="00825548" w:rsidRPr="000412A1">
        <w:rPr>
          <w:sz w:val="22"/>
          <w:szCs w:val="22"/>
        </w:rPr>
        <w:t>the</w:t>
      </w:r>
      <w:r w:rsidR="009B760B" w:rsidRPr="009B760B">
        <w:rPr>
          <w:sz w:val="22"/>
          <w:szCs w:val="22"/>
        </w:rPr>
        <w:t xml:space="preserve"> </w:t>
      </w:r>
      <w:r w:rsidR="009B760B" w:rsidRPr="000412A1">
        <w:rPr>
          <w:sz w:val="22"/>
          <w:szCs w:val="22"/>
        </w:rPr>
        <w:t>substrate</w:t>
      </w:r>
      <w:r w:rsidR="00825548" w:rsidRPr="000412A1">
        <w:rPr>
          <w:sz w:val="22"/>
          <w:szCs w:val="22"/>
        </w:rPr>
        <w:t xml:space="preserve"> </w:t>
      </w:r>
      <w:r w:rsidR="00472322" w:rsidRPr="000412A1">
        <w:rPr>
          <w:sz w:val="22"/>
          <w:szCs w:val="22"/>
        </w:rPr>
        <w:t>structure (i.e.</w:t>
      </w:r>
      <w:r w:rsidR="009B760B">
        <w:rPr>
          <w:sz w:val="22"/>
          <w:szCs w:val="22"/>
        </w:rPr>
        <w:t>,</w:t>
      </w:r>
      <w:r w:rsidR="00472322" w:rsidRPr="000412A1">
        <w:rPr>
          <w:sz w:val="22"/>
          <w:szCs w:val="22"/>
        </w:rPr>
        <w:t xml:space="preserve"> extracellular polymeric substance and cell wall)</w:t>
      </w:r>
      <w:r w:rsidRPr="000412A1">
        <w:rPr>
          <w:sz w:val="22"/>
          <w:szCs w:val="22"/>
        </w:rPr>
        <w:t>.</w:t>
      </w:r>
      <w:r w:rsidR="00172B1B" w:rsidRPr="000412A1">
        <w:rPr>
          <w:sz w:val="22"/>
          <w:szCs w:val="22"/>
        </w:rPr>
        <w:t xml:space="preserve"> </w:t>
      </w:r>
      <w:r w:rsidRPr="000412A1">
        <w:rPr>
          <w:sz w:val="22"/>
          <w:szCs w:val="22"/>
        </w:rPr>
        <w:t xml:space="preserve">Although </w:t>
      </w:r>
      <w:r w:rsidR="0037723D" w:rsidRPr="000412A1">
        <w:rPr>
          <w:sz w:val="22"/>
          <w:szCs w:val="22"/>
        </w:rPr>
        <w:t xml:space="preserve">sludge </w:t>
      </w:r>
      <w:proofErr w:type="spellStart"/>
      <w:r w:rsidR="000D4D9A" w:rsidRPr="000412A1">
        <w:rPr>
          <w:sz w:val="22"/>
          <w:szCs w:val="22"/>
        </w:rPr>
        <w:t>pretreatment</w:t>
      </w:r>
      <w:proofErr w:type="spellEnd"/>
      <w:r w:rsidR="000D4D9A" w:rsidRPr="000412A1">
        <w:rPr>
          <w:sz w:val="22"/>
          <w:szCs w:val="22"/>
        </w:rPr>
        <w:t xml:space="preserve"> improved</w:t>
      </w:r>
      <w:r w:rsidRPr="000412A1">
        <w:rPr>
          <w:sz w:val="22"/>
          <w:szCs w:val="22"/>
        </w:rPr>
        <w:t xml:space="preserve"> the specific methane potential</w:t>
      </w:r>
      <w:r w:rsidR="00BA0A97" w:rsidRPr="000412A1">
        <w:rPr>
          <w:sz w:val="22"/>
          <w:szCs w:val="22"/>
        </w:rPr>
        <w:t xml:space="preserve"> (T1,</w:t>
      </w:r>
      <w:r w:rsidR="00226E27" w:rsidRPr="000412A1">
        <w:rPr>
          <w:sz w:val="22"/>
          <w:szCs w:val="22"/>
        </w:rPr>
        <w:t xml:space="preserve"> </w:t>
      </w:r>
      <w:r w:rsidR="00BA0A97" w:rsidRPr="000412A1">
        <w:rPr>
          <w:sz w:val="22"/>
          <w:szCs w:val="22"/>
        </w:rPr>
        <w:t>T4,</w:t>
      </w:r>
      <w:r w:rsidR="00226E27" w:rsidRPr="000412A1">
        <w:rPr>
          <w:sz w:val="22"/>
          <w:szCs w:val="22"/>
        </w:rPr>
        <w:t xml:space="preserve"> </w:t>
      </w:r>
      <w:r w:rsidR="00BA0A97" w:rsidRPr="000412A1">
        <w:rPr>
          <w:sz w:val="22"/>
          <w:szCs w:val="22"/>
        </w:rPr>
        <w:t>T5)</w:t>
      </w:r>
      <w:r w:rsidRPr="000412A1">
        <w:rPr>
          <w:sz w:val="22"/>
          <w:szCs w:val="22"/>
        </w:rPr>
        <w:t>, the</w:t>
      </w:r>
      <w:r w:rsidR="00172B1B" w:rsidRPr="000412A1">
        <w:rPr>
          <w:sz w:val="22"/>
          <w:szCs w:val="22"/>
        </w:rPr>
        <w:t xml:space="preserve"> lag</w:t>
      </w:r>
      <w:r w:rsidR="0037723D" w:rsidRPr="000412A1">
        <w:rPr>
          <w:sz w:val="22"/>
          <w:szCs w:val="22"/>
        </w:rPr>
        <w:t xml:space="preserve"> </w:t>
      </w:r>
      <w:r w:rsidR="00172B1B" w:rsidRPr="000412A1">
        <w:rPr>
          <w:sz w:val="22"/>
          <w:szCs w:val="22"/>
        </w:rPr>
        <w:t xml:space="preserve">phase obtained from the </w:t>
      </w:r>
      <w:proofErr w:type="spellStart"/>
      <w:r w:rsidR="00172B1B" w:rsidRPr="000412A1">
        <w:rPr>
          <w:sz w:val="22"/>
          <w:szCs w:val="22"/>
        </w:rPr>
        <w:t>pretreated</w:t>
      </w:r>
      <w:proofErr w:type="spellEnd"/>
      <w:r w:rsidR="00172B1B" w:rsidRPr="000412A1">
        <w:rPr>
          <w:sz w:val="22"/>
          <w:szCs w:val="22"/>
        </w:rPr>
        <w:t xml:space="preserve"> experiments </w:t>
      </w:r>
      <w:r w:rsidR="00CB6207" w:rsidRPr="000412A1">
        <w:rPr>
          <w:sz w:val="22"/>
          <w:szCs w:val="22"/>
        </w:rPr>
        <w:t xml:space="preserve">was </w:t>
      </w:r>
      <w:r w:rsidR="00172B1B" w:rsidRPr="000412A1">
        <w:rPr>
          <w:sz w:val="22"/>
          <w:szCs w:val="22"/>
        </w:rPr>
        <w:t xml:space="preserve">greater than the one obtained from the control systems. This behaviour </w:t>
      </w:r>
      <w:r w:rsidR="0037723D" w:rsidRPr="000412A1">
        <w:rPr>
          <w:sz w:val="22"/>
          <w:szCs w:val="22"/>
        </w:rPr>
        <w:t xml:space="preserve">was </w:t>
      </w:r>
      <w:r w:rsidR="000D4D9A" w:rsidRPr="000412A1">
        <w:rPr>
          <w:sz w:val="22"/>
          <w:szCs w:val="22"/>
        </w:rPr>
        <w:t>presumably</w:t>
      </w:r>
      <w:r w:rsidR="00172B1B" w:rsidRPr="000412A1">
        <w:rPr>
          <w:sz w:val="22"/>
          <w:szCs w:val="22"/>
        </w:rPr>
        <w:t xml:space="preserve"> an indication of the microbial system needing time to adapt to the new acidic </w:t>
      </w:r>
      <w:r w:rsidR="00172B1B" w:rsidRPr="000412A1">
        <w:rPr>
          <w:sz w:val="22"/>
          <w:szCs w:val="22"/>
        </w:rPr>
        <w:lastRenderedPageBreak/>
        <w:t>conditions</w:t>
      </w:r>
      <w:r w:rsidR="002A319C" w:rsidRPr="000412A1">
        <w:rPr>
          <w:sz w:val="22"/>
          <w:szCs w:val="22"/>
        </w:rPr>
        <w:t xml:space="preserve"> or </w:t>
      </w:r>
      <w:r w:rsidR="00CB6207" w:rsidRPr="000412A1">
        <w:rPr>
          <w:sz w:val="22"/>
          <w:szCs w:val="22"/>
        </w:rPr>
        <w:t xml:space="preserve">to </w:t>
      </w:r>
      <w:r w:rsidR="002A319C" w:rsidRPr="000412A1">
        <w:rPr>
          <w:sz w:val="22"/>
          <w:szCs w:val="22"/>
        </w:rPr>
        <w:t xml:space="preserve">the higher levels of salinity caused by the </w:t>
      </w:r>
      <w:r w:rsidR="00CB6207" w:rsidRPr="000412A1">
        <w:rPr>
          <w:sz w:val="22"/>
          <w:szCs w:val="22"/>
        </w:rPr>
        <w:t xml:space="preserve">addition of salts </w:t>
      </w:r>
      <w:r w:rsidR="000D4D9A" w:rsidRPr="000412A1">
        <w:rPr>
          <w:sz w:val="22"/>
          <w:szCs w:val="22"/>
        </w:rPr>
        <w:t xml:space="preserve">during </w:t>
      </w:r>
      <w:r w:rsidR="0037723D" w:rsidRPr="000412A1">
        <w:rPr>
          <w:sz w:val="22"/>
          <w:szCs w:val="22"/>
        </w:rPr>
        <w:t xml:space="preserve">the </w:t>
      </w:r>
      <w:r w:rsidR="002A319C" w:rsidRPr="000412A1">
        <w:rPr>
          <w:sz w:val="22"/>
          <w:szCs w:val="22"/>
        </w:rPr>
        <w:t>electro</w:t>
      </w:r>
      <w:r w:rsidR="0037723D" w:rsidRPr="000412A1">
        <w:rPr>
          <w:sz w:val="22"/>
          <w:szCs w:val="22"/>
        </w:rPr>
        <w:t>-</w:t>
      </w:r>
      <w:r w:rsidR="002A319C" w:rsidRPr="000412A1">
        <w:rPr>
          <w:sz w:val="22"/>
          <w:szCs w:val="22"/>
        </w:rPr>
        <w:t>oxidation tests</w:t>
      </w:r>
      <w:r w:rsidR="00ED2647" w:rsidRPr="000412A1">
        <w:rPr>
          <w:sz w:val="22"/>
          <w:szCs w:val="22"/>
        </w:rPr>
        <w:t>.</w:t>
      </w:r>
    </w:p>
    <w:p w14:paraId="133F68D8" w14:textId="77777777" w:rsidR="00AC07B4" w:rsidRPr="000412A1" w:rsidRDefault="00AC07B4" w:rsidP="00C012DA">
      <w:pPr>
        <w:spacing w:line="480" w:lineRule="auto"/>
        <w:rPr>
          <w:sz w:val="22"/>
          <w:szCs w:val="22"/>
        </w:rPr>
      </w:pPr>
    </w:p>
    <w:p w14:paraId="0D12F4F1" w14:textId="23A173F7" w:rsidR="001966CE" w:rsidRPr="009A0A82" w:rsidRDefault="001966CE" w:rsidP="008E7BB4">
      <w:pPr>
        <w:spacing w:line="480" w:lineRule="auto"/>
        <w:rPr>
          <w:bCs/>
          <w:i/>
          <w:iCs/>
          <w:sz w:val="22"/>
          <w:szCs w:val="22"/>
        </w:rPr>
      </w:pPr>
      <w:r w:rsidRPr="009A0A82">
        <w:rPr>
          <w:bCs/>
          <w:i/>
          <w:iCs/>
          <w:sz w:val="22"/>
          <w:szCs w:val="22"/>
        </w:rPr>
        <w:t xml:space="preserve">3.3. Effect of </w:t>
      </w:r>
      <w:r w:rsidR="0037723D" w:rsidRPr="009A0A82">
        <w:rPr>
          <w:bCs/>
          <w:i/>
          <w:iCs/>
          <w:sz w:val="22"/>
          <w:szCs w:val="22"/>
        </w:rPr>
        <w:t>Electro-O</w:t>
      </w:r>
      <w:r w:rsidR="0012077A" w:rsidRPr="009A0A82">
        <w:rPr>
          <w:bCs/>
          <w:i/>
          <w:iCs/>
          <w:sz w:val="22"/>
          <w:szCs w:val="22"/>
        </w:rPr>
        <w:t xml:space="preserve">xidation </w:t>
      </w:r>
      <w:r w:rsidR="0037723D" w:rsidRPr="009A0A82">
        <w:rPr>
          <w:bCs/>
          <w:i/>
          <w:iCs/>
          <w:sz w:val="22"/>
          <w:szCs w:val="22"/>
        </w:rPr>
        <w:t>P</w:t>
      </w:r>
      <w:r w:rsidRPr="009A0A82">
        <w:rPr>
          <w:bCs/>
          <w:i/>
          <w:iCs/>
          <w:sz w:val="22"/>
          <w:szCs w:val="22"/>
        </w:rPr>
        <w:t>ost-</w:t>
      </w:r>
      <w:r w:rsidR="0037723D" w:rsidRPr="009A0A82">
        <w:rPr>
          <w:bCs/>
          <w:i/>
          <w:iCs/>
          <w:sz w:val="22"/>
          <w:szCs w:val="22"/>
        </w:rPr>
        <w:t>T</w:t>
      </w:r>
      <w:r w:rsidRPr="009A0A82">
        <w:rPr>
          <w:bCs/>
          <w:i/>
          <w:iCs/>
          <w:sz w:val="22"/>
          <w:szCs w:val="22"/>
        </w:rPr>
        <w:t xml:space="preserve">reatment on </w:t>
      </w:r>
      <w:r w:rsidR="0037723D" w:rsidRPr="009A0A82">
        <w:rPr>
          <w:bCs/>
          <w:i/>
          <w:iCs/>
          <w:sz w:val="22"/>
          <w:szCs w:val="22"/>
        </w:rPr>
        <w:t>S</w:t>
      </w:r>
      <w:r w:rsidRPr="009A0A82">
        <w:rPr>
          <w:bCs/>
          <w:i/>
          <w:iCs/>
          <w:sz w:val="22"/>
          <w:szCs w:val="22"/>
        </w:rPr>
        <w:t xml:space="preserve">ludge </w:t>
      </w:r>
      <w:r w:rsidR="0037723D" w:rsidRPr="009A0A82">
        <w:rPr>
          <w:bCs/>
          <w:i/>
          <w:iCs/>
          <w:sz w:val="22"/>
          <w:szCs w:val="22"/>
        </w:rPr>
        <w:t xml:space="preserve">Dewaterability </w:t>
      </w:r>
      <w:r w:rsidRPr="009A0A82">
        <w:rPr>
          <w:bCs/>
          <w:i/>
          <w:iCs/>
          <w:sz w:val="22"/>
          <w:szCs w:val="22"/>
        </w:rPr>
        <w:t xml:space="preserve">and </w:t>
      </w:r>
      <w:r w:rsidR="0037723D" w:rsidRPr="009A0A82">
        <w:rPr>
          <w:bCs/>
          <w:i/>
          <w:iCs/>
          <w:sz w:val="22"/>
          <w:szCs w:val="22"/>
        </w:rPr>
        <w:t>S</w:t>
      </w:r>
      <w:r w:rsidRPr="009A0A82">
        <w:rPr>
          <w:bCs/>
          <w:i/>
          <w:iCs/>
          <w:sz w:val="22"/>
          <w:szCs w:val="22"/>
        </w:rPr>
        <w:t>tability</w:t>
      </w:r>
    </w:p>
    <w:p w14:paraId="4C63781A" w14:textId="77777777" w:rsidR="006D31EA" w:rsidRPr="000412A1" w:rsidRDefault="006D31EA" w:rsidP="008E7BB4">
      <w:pPr>
        <w:spacing w:line="480" w:lineRule="auto"/>
        <w:rPr>
          <w:sz w:val="22"/>
          <w:szCs w:val="22"/>
        </w:rPr>
      </w:pPr>
    </w:p>
    <w:p w14:paraId="775A662D" w14:textId="422BE640" w:rsidR="00246710" w:rsidRPr="000412A1" w:rsidRDefault="006D31EA" w:rsidP="00246710">
      <w:pPr>
        <w:spacing w:after="160" w:line="480" w:lineRule="auto"/>
        <w:rPr>
          <w:sz w:val="22"/>
          <w:szCs w:val="22"/>
        </w:rPr>
      </w:pPr>
      <w:r w:rsidRPr="000412A1">
        <w:rPr>
          <w:sz w:val="22"/>
          <w:szCs w:val="22"/>
        </w:rPr>
        <w:t>T</w:t>
      </w:r>
      <w:r w:rsidR="00246710" w:rsidRPr="000412A1">
        <w:rPr>
          <w:sz w:val="22"/>
          <w:szCs w:val="22"/>
        </w:rPr>
        <w:t xml:space="preserve">he effect of </w:t>
      </w:r>
      <w:r w:rsidR="0012077A" w:rsidRPr="000412A1">
        <w:rPr>
          <w:sz w:val="22"/>
          <w:szCs w:val="22"/>
        </w:rPr>
        <w:t>electr</w:t>
      </w:r>
      <w:r w:rsidR="001E7DCA" w:rsidRPr="000412A1">
        <w:rPr>
          <w:sz w:val="22"/>
          <w:szCs w:val="22"/>
        </w:rPr>
        <w:t>o-o</w:t>
      </w:r>
      <w:r w:rsidR="0012077A" w:rsidRPr="000412A1">
        <w:rPr>
          <w:sz w:val="22"/>
          <w:szCs w:val="22"/>
        </w:rPr>
        <w:t>xidat</w:t>
      </w:r>
      <w:r w:rsidR="00342318" w:rsidRPr="000412A1">
        <w:rPr>
          <w:sz w:val="22"/>
          <w:szCs w:val="22"/>
        </w:rPr>
        <w:t>i</w:t>
      </w:r>
      <w:r w:rsidR="0012077A" w:rsidRPr="000412A1">
        <w:rPr>
          <w:sz w:val="22"/>
          <w:szCs w:val="22"/>
        </w:rPr>
        <w:t xml:space="preserve">on </w:t>
      </w:r>
      <w:r w:rsidRPr="000412A1">
        <w:rPr>
          <w:sz w:val="22"/>
          <w:szCs w:val="22"/>
        </w:rPr>
        <w:t xml:space="preserve">applied as </w:t>
      </w:r>
      <w:r w:rsidR="00DA061D" w:rsidRPr="000412A1">
        <w:rPr>
          <w:sz w:val="22"/>
          <w:szCs w:val="22"/>
        </w:rPr>
        <w:t xml:space="preserve">a </w:t>
      </w:r>
      <w:r w:rsidR="00246710" w:rsidRPr="000412A1">
        <w:rPr>
          <w:sz w:val="22"/>
          <w:szCs w:val="22"/>
        </w:rPr>
        <w:t xml:space="preserve">post-treatment </w:t>
      </w:r>
      <w:r w:rsidR="0012077A" w:rsidRPr="000412A1">
        <w:rPr>
          <w:sz w:val="22"/>
          <w:szCs w:val="22"/>
        </w:rPr>
        <w:t xml:space="preserve">was tested </w:t>
      </w:r>
      <w:r w:rsidR="007148AC" w:rsidRPr="000412A1">
        <w:rPr>
          <w:sz w:val="22"/>
          <w:szCs w:val="22"/>
        </w:rPr>
        <w:t>under</w:t>
      </w:r>
      <w:r w:rsidR="00DA061D" w:rsidRPr="000412A1">
        <w:rPr>
          <w:sz w:val="22"/>
          <w:szCs w:val="22"/>
        </w:rPr>
        <w:t xml:space="preserve"> five</w:t>
      </w:r>
      <w:r w:rsidR="007148AC" w:rsidRPr="000412A1">
        <w:rPr>
          <w:sz w:val="22"/>
          <w:szCs w:val="22"/>
        </w:rPr>
        <w:t xml:space="preserve"> </w:t>
      </w:r>
      <w:r w:rsidR="0012077A" w:rsidRPr="000412A1">
        <w:rPr>
          <w:sz w:val="22"/>
          <w:szCs w:val="22"/>
        </w:rPr>
        <w:t>different conditions</w:t>
      </w:r>
      <w:r w:rsidR="00DA061D" w:rsidRPr="000412A1">
        <w:rPr>
          <w:sz w:val="22"/>
          <w:szCs w:val="22"/>
        </w:rPr>
        <w:t>,</w:t>
      </w:r>
      <w:r w:rsidR="0012077A" w:rsidRPr="000412A1">
        <w:rPr>
          <w:sz w:val="22"/>
          <w:szCs w:val="22"/>
        </w:rPr>
        <w:t xml:space="preserve"> </w:t>
      </w:r>
      <w:r w:rsidR="00DA061D" w:rsidRPr="000412A1">
        <w:rPr>
          <w:sz w:val="22"/>
          <w:szCs w:val="22"/>
        </w:rPr>
        <w:t>whil</w:t>
      </w:r>
      <w:r w:rsidR="009B760B">
        <w:rPr>
          <w:sz w:val="22"/>
          <w:szCs w:val="22"/>
        </w:rPr>
        <w:t>e</w:t>
      </w:r>
      <w:r w:rsidR="00DA061D" w:rsidRPr="000412A1">
        <w:rPr>
          <w:sz w:val="22"/>
          <w:szCs w:val="22"/>
        </w:rPr>
        <w:t xml:space="preserve"> </w:t>
      </w:r>
      <w:r w:rsidR="0012077A" w:rsidRPr="000412A1">
        <w:rPr>
          <w:sz w:val="22"/>
          <w:szCs w:val="22"/>
        </w:rPr>
        <w:t>parameters such as</w:t>
      </w:r>
      <w:r w:rsidR="008E75CC" w:rsidRPr="000412A1">
        <w:rPr>
          <w:sz w:val="22"/>
          <w:szCs w:val="22"/>
        </w:rPr>
        <w:t xml:space="preserve"> particle</w:t>
      </w:r>
      <w:r w:rsidR="00B064A7">
        <w:rPr>
          <w:sz w:val="22"/>
          <w:szCs w:val="22"/>
        </w:rPr>
        <w:t xml:space="preserve"> </w:t>
      </w:r>
      <w:r w:rsidR="008E75CC" w:rsidRPr="000412A1">
        <w:rPr>
          <w:sz w:val="22"/>
          <w:szCs w:val="22"/>
        </w:rPr>
        <w:t xml:space="preserve">size reduction and </w:t>
      </w:r>
      <w:r w:rsidR="00246710" w:rsidRPr="000412A1">
        <w:rPr>
          <w:sz w:val="22"/>
          <w:szCs w:val="22"/>
        </w:rPr>
        <w:t>dewaterability characteristics</w:t>
      </w:r>
      <w:r w:rsidR="0012077A" w:rsidRPr="000412A1">
        <w:rPr>
          <w:sz w:val="22"/>
          <w:szCs w:val="22"/>
        </w:rPr>
        <w:t xml:space="preserve"> </w:t>
      </w:r>
      <w:r w:rsidR="00DA061D" w:rsidRPr="000412A1">
        <w:rPr>
          <w:sz w:val="22"/>
          <w:szCs w:val="22"/>
        </w:rPr>
        <w:t>were employed to evaluate</w:t>
      </w:r>
      <w:r w:rsidR="0012077A" w:rsidRPr="000412A1">
        <w:rPr>
          <w:sz w:val="22"/>
          <w:szCs w:val="22"/>
        </w:rPr>
        <w:t xml:space="preserve"> </w:t>
      </w:r>
      <w:r w:rsidR="00DA061D" w:rsidRPr="000412A1">
        <w:rPr>
          <w:sz w:val="22"/>
          <w:szCs w:val="22"/>
        </w:rPr>
        <w:t xml:space="preserve">the </w:t>
      </w:r>
      <w:r w:rsidR="0012077A" w:rsidRPr="000412A1">
        <w:rPr>
          <w:sz w:val="22"/>
          <w:szCs w:val="22"/>
        </w:rPr>
        <w:t>effectiveness</w:t>
      </w:r>
      <w:r w:rsidR="009B760B">
        <w:rPr>
          <w:sz w:val="22"/>
          <w:szCs w:val="22"/>
        </w:rPr>
        <w:t xml:space="preserve"> of the</w:t>
      </w:r>
      <w:r w:rsidR="009B760B" w:rsidRPr="009B760B">
        <w:rPr>
          <w:sz w:val="22"/>
          <w:szCs w:val="22"/>
        </w:rPr>
        <w:t xml:space="preserve"> </w:t>
      </w:r>
      <w:r w:rsidR="009B760B" w:rsidRPr="000412A1">
        <w:rPr>
          <w:sz w:val="22"/>
          <w:szCs w:val="22"/>
        </w:rPr>
        <w:t>process</w:t>
      </w:r>
      <w:r w:rsidR="00246710" w:rsidRPr="000412A1">
        <w:rPr>
          <w:sz w:val="22"/>
          <w:szCs w:val="22"/>
        </w:rPr>
        <w:t>.</w:t>
      </w:r>
      <w:r w:rsidRPr="000412A1">
        <w:rPr>
          <w:sz w:val="22"/>
          <w:szCs w:val="22"/>
        </w:rPr>
        <w:t xml:space="preserve"> </w:t>
      </w:r>
      <w:r w:rsidR="00CB231F" w:rsidRPr="000412A1">
        <w:rPr>
          <w:sz w:val="22"/>
          <w:szCs w:val="22"/>
        </w:rPr>
        <w:t>Fig</w:t>
      </w:r>
      <w:r w:rsidR="009B760B">
        <w:rPr>
          <w:sz w:val="22"/>
          <w:szCs w:val="22"/>
        </w:rPr>
        <w:t>ure</w:t>
      </w:r>
      <w:r w:rsidR="00CB231F" w:rsidRPr="000412A1">
        <w:rPr>
          <w:sz w:val="22"/>
          <w:szCs w:val="22"/>
        </w:rPr>
        <w:t xml:space="preserve"> 4. </w:t>
      </w:r>
      <w:r w:rsidR="00246710" w:rsidRPr="000412A1">
        <w:rPr>
          <w:sz w:val="22"/>
          <w:szCs w:val="22"/>
        </w:rPr>
        <w:t xml:space="preserve">shows the </w:t>
      </w:r>
      <w:r w:rsidR="00420135" w:rsidRPr="000412A1">
        <w:rPr>
          <w:sz w:val="22"/>
          <w:szCs w:val="22"/>
        </w:rPr>
        <w:t>enhancement</w:t>
      </w:r>
      <w:r w:rsidRPr="000412A1">
        <w:rPr>
          <w:sz w:val="22"/>
          <w:szCs w:val="22"/>
        </w:rPr>
        <w:t xml:space="preserve"> </w:t>
      </w:r>
      <w:r w:rsidR="00420135" w:rsidRPr="000412A1">
        <w:rPr>
          <w:sz w:val="22"/>
          <w:szCs w:val="22"/>
        </w:rPr>
        <w:t xml:space="preserve">on </w:t>
      </w:r>
      <w:r w:rsidR="00246710" w:rsidRPr="000412A1">
        <w:rPr>
          <w:sz w:val="22"/>
          <w:szCs w:val="22"/>
        </w:rPr>
        <w:t xml:space="preserve">the solubilisation of the organic matter compared </w:t>
      </w:r>
      <w:r w:rsidR="000D6601" w:rsidRPr="000412A1">
        <w:rPr>
          <w:sz w:val="22"/>
          <w:szCs w:val="22"/>
        </w:rPr>
        <w:t xml:space="preserve">to </w:t>
      </w:r>
      <w:r w:rsidR="00FD7C26">
        <w:rPr>
          <w:sz w:val="22"/>
          <w:szCs w:val="22"/>
        </w:rPr>
        <w:t xml:space="preserve">the </w:t>
      </w:r>
      <w:r w:rsidR="00246710" w:rsidRPr="000412A1">
        <w:rPr>
          <w:sz w:val="22"/>
          <w:szCs w:val="22"/>
        </w:rPr>
        <w:t xml:space="preserve">raw digestate. </w:t>
      </w:r>
      <w:r w:rsidRPr="000412A1">
        <w:rPr>
          <w:sz w:val="22"/>
          <w:szCs w:val="22"/>
        </w:rPr>
        <w:t xml:space="preserve">The </w:t>
      </w:r>
      <w:r w:rsidR="00246710" w:rsidRPr="000412A1">
        <w:rPr>
          <w:sz w:val="22"/>
          <w:szCs w:val="22"/>
        </w:rPr>
        <w:t xml:space="preserve">values of </w:t>
      </w:r>
      <w:r w:rsidRPr="000412A1">
        <w:rPr>
          <w:sz w:val="22"/>
          <w:szCs w:val="22"/>
        </w:rPr>
        <w:t xml:space="preserve">organic </w:t>
      </w:r>
      <w:r w:rsidR="0012077A" w:rsidRPr="000412A1">
        <w:rPr>
          <w:sz w:val="22"/>
          <w:szCs w:val="22"/>
        </w:rPr>
        <w:t xml:space="preserve">content </w:t>
      </w:r>
      <w:r w:rsidRPr="000412A1">
        <w:rPr>
          <w:sz w:val="22"/>
          <w:szCs w:val="22"/>
        </w:rPr>
        <w:t>of the digestate sample were 417</w:t>
      </w:r>
      <w:r w:rsidR="00FD7C26">
        <w:rPr>
          <w:sz w:val="22"/>
          <w:szCs w:val="22"/>
        </w:rPr>
        <w:t xml:space="preserve"> </w:t>
      </w:r>
      <w:r w:rsidR="00CB2DB1" w:rsidRPr="000412A1">
        <w:rPr>
          <w:sz w:val="22"/>
          <w:szCs w:val="22"/>
        </w:rPr>
        <w:t>±</w:t>
      </w:r>
      <w:r w:rsidR="00FD7C26">
        <w:rPr>
          <w:sz w:val="22"/>
          <w:szCs w:val="22"/>
        </w:rPr>
        <w:t xml:space="preserve"> </w:t>
      </w:r>
      <w:r w:rsidR="00CB2DB1" w:rsidRPr="000412A1">
        <w:rPr>
          <w:sz w:val="22"/>
          <w:szCs w:val="22"/>
        </w:rPr>
        <w:t>12</w:t>
      </w:r>
      <w:r w:rsidRPr="000412A1">
        <w:rPr>
          <w:sz w:val="22"/>
          <w:szCs w:val="22"/>
        </w:rPr>
        <w:t xml:space="preserve"> mg L</w:t>
      </w:r>
      <w:r w:rsidR="0037723D" w:rsidRPr="000412A1">
        <w:rPr>
          <w:sz w:val="22"/>
          <w:szCs w:val="22"/>
          <w:vertAlign w:val="superscript"/>
        </w:rPr>
        <w:t>–</w:t>
      </w:r>
      <w:r w:rsidRPr="000412A1">
        <w:rPr>
          <w:sz w:val="22"/>
          <w:szCs w:val="22"/>
          <w:vertAlign w:val="superscript"/>
        </w:rPr>
        <w:t>1</w:t>
      </w:r>
      <w:r w:rsidRPr="000412A1">
        <w:rPr>
          <w:sz w:val="22"/>
          <w:szCs w:val="22"/>
        </w:rPr>
        <w:t xml:space="preserve"> TOC (soluble fraction) and </w:t>
      </w:r>
      <w:r w:rsidR="00CB2DB1" w:rsidRPr="000412A1">
        <w:rPr>
          <w:sz w:val="22"/>
          <w:szCs w:val="22"/>
        </w:rPr>
        <w:t>1158</w:t>
      </w:r>
      <w:r w:rsidR="00FD7C26">
        <w:rPr>
          <w:sz w:val="22"/>
          <w:szCs w:val="22"/>
        </w:rPr>
        <w:t xml:space="preserve"> </w:t>
      </w:r>
      <w:r w:rsidR="00CB2DB1" w:rsidRPr="000412A1">
        <w:rPr>
          <w:sz w:val="22"/>
          <w:szCs w:val="22"/>
        </w:rPr>
        <w:t>±</w:t>
      </w:r>
      <w:r w:rsidR="00FD7C26">
        <w:rPr>
          <w:sz w:val="22"/>
          <w:szCs w:val="22"/>
        </w:rPr>
        <w:t xml:space="preserve"> </w:t>
      </w:r>
      <w:r w:rsidR="00CB2DB1" w:rsidRPr="000412A1">
        <w:rPr>
          <w:sz w:val="22"/>
          <w:szCs w:val="22"/>
        </w:rPr>
        <w:t>57</w:t>
      </w:r>
      <w:r w:rsidRPr="000412A1">
        <w:rPr>
          <w:sz w:val="22"/>
          <w:szCs w:val="22"/>
        </w:rPr>
        <w:t xml:space="preserve"> mg L</w:t>
      </w:r>
      <w:r w:rsidR="0037723D" w:rsidRPr="000412A1">
        <w:rPr>
          <w:sz w:val="22"/>
          <w:szCs w:val="22"/>
          <w:vertAlign w:val="superscript"/>
        </w:rPr>
        <w:t>–</w:t>
      </w:r>
      <w:r w:rsidRPr="000412A1">
        <w:rPr>
          <w:sz w:val="22"/>
          <w:szCs w:val="22"/>
          <w:vertAlign w:val="superscript"/>
        </w:rPr>
        <w:t>1</w:t>
      </w:r>
      <w:r w:rsidRPr="000412A1">
        <w:rPr>
          <w:sz w:val="22"/>
          <w:szCs w:val="22"/>
        </w:rPr>
        <w:t xml:space="preserve"> </w:t>
      </w:r>
      <w:r w:rsidR="004A0755" w:rsidRPr="000412A1">
        <w:rPr>
          <w:sz w:val="22"/>
          <w:szCs w:val="22"/>
        </w:rPr>
        <w:t xml:space="preserve">for </w:t>
      </w:r>
      <w:r w:rsidR="00CB2DB1" w:rsidRPr="000412A1">
        <w:rPr>
          <w:sz w:val="22"/>
          <w:szCs w:val="22"/>
        </w:rPr>
        <w:t>soluble</w:t>
      </w:r>
      <w:r w:rsidR="00CB2DB1" w:rsidRPr="000412A1" w:rsidDel="00CB2DB1">
        <w:rPr>
          <w:sz w:val="22"/>
          <w:szCs w:val="22"/>
        </w:rPr>
        <w:t xml:space="preserve"> </w:t>
      </w:r>
      <w:r w:rsidR="0012077A" w:rsidRPr="000412A1">
        <w:rPr>
          <w:sz w:val="22"/>
          <w:szCs w:val="22"/>
        </w:rPr>
        <w:t>COD</w:t>
      </w:r>
      <w:r w:rsidRPr="000412A1">
        <w:rPr>
          <w:sz w:val="22"/>
          <w:szCs w:val="22"/>
        </w:rPr>
        <w:t>. The application of electr</w:t>
      </w:r>
      <w:r w:rsidR="001E7DCA" w:rsidRPr="000412A1">
        <w:rPr>
          <w:sz w:val="22"/>
          <w:szCs w:val="22"/>
        </w:rPr>
        <w:t>o-o</w:t>
      </w:r>
      <w:r w:rsidRPr="000412A1">
        <w:rPr>
          <w:sz w:val="22"/>
          <w:szCs w:val="22"/>
        </w:rPr>
        <w:t xml:space="preserve">xidation to the digestate sample led to a </w:t>
      </w:r>
      <w:r w:rsidR="004A0755" w:rsidRPr="000412A1">
        <w:rPr>
          <w:sz w:val="22"/>
          <w:szCs w:val="22"/>
        </w:rPr>
        <w:t>slight</w:t>
      </w:r>
      <w:r w:rsidR="00971788" w:rsidRPr="000412A1">
        <w:rPr>
          <w:sz w:val="22"/>
          <w:szCs w:val="22"/>
        </w:rPr>
        <w:t xml:space="preserve"> increment </w:t>
      </w:r>
      <w:r w:rsidRPr="000412A1">
        <w:rPr>
          <w:sz w:val="22"/>
          <w:szCs w:val="22"/>
        </w:rPr>
        <w:t>of TOC</w:t>
      </w:r>
      <w:r w:rsidR="001D7A92" w:rsidRPr="000412A1">
        <w:rPr>
          <w:sz w:val="22"/>
          <w:szCs w:val="22"/>
        </w:rPr>
        <w:t xml:space="preserve"> and COD</w:t>
      </w:r>
      <w:r w:rsidRPr="000412A1">
        <w:rPr>
          <w:sz w:val="22"/>
          <w:szCs w:val="22"/>
        </w:rPr>
        <w:t xml:space="preserve"> measurements for the soluble fraction </w:t>
      </w:r>
      <w:r w:rsidR="00FD7C26">
        <w:rPr>
          <w:sz w:val="22"/>
          <w:szCs w:val="22"/>
        </w:rPr>
        <w:t>that</w:t>
      </w:r>
      <w:r w:rsidR="00FD7C26" w:rsidRPr="000412A1">
        <w:rPr>
          <w:sz w:val="22"/>
          <w:szCs w:val="22"/>
        </w:rPr>
        <w:t xml:space="preserve"> </w:t>
      </w:r>
      <w:r w:rsidR="004A0755" w:rsidRPr="000412A1">
        <w:rPr>
          <w:sz w:val="22"/>
          <w:szCs w:val="22"/>
        </w:rPr>
        <w:t>w</w:t>
      </w:r>
      <w:r w:rsidR="006D1EB3" w:rsidRPr="000412A1">
        <w:rPr>
          <w:sz w:val="22"/>
          <w:szCs w:val="22"/>
        </w:rPr>
        <w:t>as</w:t>
      </w:r>
      <w:r w:rsidR="004A0755" w:rsidRPr="000412A1">
        <w:rPr>
          <w:sz w:val="22"/>
          <w:szCs w:val="22"/>
        </w:rPr>
        <w:t xml:space="preserve"> more noticeable after 1 h</w:t>
      </w:r>
      <w:r w:rsidR="00A14189" w:rsidRPr="000412A1">
        <w:rPr>
          <w:sz w:val="22"/>
          <w:szCs w:val="22"/>
        </w:rPr>
        <w:t>our</w:t>
      </w:r>
      <w:r w:rsidR="004A0755" w:rsidRPr="000412A1">
        <w:rPr>
          <w:sz w:val="22"/>
          <w:szCs w:val="22"/>
        </w:rPr>
        <w:t xml:space="preserve"> of post-treatment (P5)</w:t>
      </w:r>
      <w:r w:rsidR="00971788" w:rsidRPr="000412A1">
        <w:rPr>
          <w:sz w:val="22"/>
          <w:szCs w:val="22"/>
        </w:rPr>
        <w:t xml:space="preserve">. This enhancement </w:t>
      </w:r>
      <w:r w:rsidR="00FD7C26">
        <w:rPr>
          <w:sz w:val="22"/>
          <w:szCs w:val="22"/>
        </w:rPr>
        <w:t>can be</w:t>
      </w:r>
      <w:r w:rsidR="00FD7C26" w:rsidRPr="000412A1">
        <w:rPr>
          <w:sz w:val="22"/>
          <w:szCs w:val="22"/>
        </w:rPr>
        <w:t xml:space="preserve"> </w:t>
      </w:r>
      <w:r w:rsidR="00971788" w:rsidRPr="000412A1">
        <w:rPr>
          <w:sz w:val="22"/>
          <w:szCs w:val="22"/>
        </w:rPr>
        <w:t>explained by the</w:t>
      </w:r>
      <w:r w:rsidR="006D1EB3" w:rsidRPr="000412A1">
        <w:rPr>
          <w:sz w:val="22"/>
          <w:szCs w:val="22"/>
        </w:rPr>
        <w:t xml:space="preserve"> </w:t>
      </w:r>
      <w:r w:rsidR="00971788" w:rsidRPr="000412A1">
        <w:rPr>
          <w:sz w:val="22"/>
          <w:szCs w:val="22"/>
        </w:rPr>
        <w:t xml:space="preserve">extended </w:t>
      </w:r>
      <w:r w:rsidR="006767E4" w:rsidRPr="000412A1">
        <w:rPr>
          <w:sz w:val="22"/>
          <w:szCs w:val="22"/>
        </w:rPr>
        <w:t xml:space="preserve">time of </w:t>
      </w:r>
      <w:r w:rsidR="00FD7C26" w:rsidRPr="000412A1">
        <w:rPr>
          <w:sz w:val="22"/>
          <w:szCs w:val="22"/>
        </w:rPr>
        <w:t xml:space="preserve">applied </w:t>
      </w:r>
      <w:r w:rsidR="006767E4" w:rsidRPr="000412A1">
        <w:rPr>
          <w:sz w:val="22"/>
          <w:szCs w:val="22"/>
        </w:rPr>
        <w:t>treatment</w:t>
      </w:r>
      <w:r w:rsidR="006D1EB3" w:rsidRPr="000412A1">
        <w:rPr>
          <w:sz w:val="22"/>
          <w:szCs w:val="22"/>
        </w:rPr>
        <w:t xml:space="preserve"> </w:t>
      </w:r>
      <w:r w:rsidR="00A14189" w:rsidRPr="000412A1">
        <w:rPr>
          <w:sz w:val="22"/>
          <w:szCs w:val="22"/>
        </w:rPr>
        <w:t>(</w:t>
      </w:r>
      <w:r w:rsidR="006D1EB3" w:rsidRPr="000412A1">
        <w:rPr>
          <w:sz w:val="22"/>
          <w:szCs w:val="22"/>
        </w:rPr>
        <w:t xml:space="preserve">despite </w:t>
      </w:r>
      <w:r w:rsidR="00971788" w:rsidRPr="000412A1">
        <w:rPr>
          <w:sz w:val="22"/>
          <w:szCs w:val="22"/>
        </w:rPr>
        <w:t xml:space="preserve">the </w:t>
      </w:r>
      <w:r w:rsidR="006D1EB3" w:rsidRPr="000412A1">
        <w:rPr>
          <w:sz w:val="22"/>
          <w:szCs w:val="22"/>
        </w:rPr>
        <w:t xml:space="preserve">lower value of current density </w:t>
      </w:r>
      <w:r w:rsidR="0037723D" w:rsidRPr="000412A1">
        <w:rPr>
          <w:sz w:val="22"/>
          <w:szCs w:val="22"/>
        </w:rPr>
        <w:t>(</w:t>
      </w:r>
      <w:r w:rsidR="006D1EB3" w:rsidRPr="000412A1">
        <w:rPr>
          <w:sz w:val="22"/>
          <w:szCs w:val="22"/>
        </w:rPr>
        <w:t>6.8 mA</w:t>
      </w:r>
      <w:r w:rsidR="00342318" w:rsidRPr="000412A1">
        <w:rPr>
          <w:sz w:val="22"/>
          <w:szCs w:val="22"/>
        </w:rPr>
        <w:t>/</w:t>
      </w:r>
      <w:r w:rsidR="006D1EB3" w:rsidRPr="000412A1">
        <w:rPr>
          <w:sz w:val="22"/>
          <w:szCs w:val="22"/>
        </w:rPr>
        <w:t>cm</w:t>
      </w:r>
      <w:r w:rsidR="0037723D" w:rsidRPr="000412A1">
        <w:rPr>
          <w:sz w:val="22"/>
          <w:szCs w:val="22"/>
          <w:vertAlign w:val="superscript"/>
        </w:rPr>
        <w:t>–</w:t>
      </w:r>
      <w:r w:rsidR="006D1EB3" w:rsidRPr="000412A1">
        <w:rPr>
          <w:sz w:val="22"/>
          <w:szCs w:val="22"/>
          <w:vertAlign w:val="superscript"/>
        </w:rPr>
        <w:t>2</w:t>
      </w:r>
      <w:r w:rsidR="0037723D" w:rsidRPr="000412A1">
        <w:rPr>
          <w:sz w:val="22"/>
          <w:szCs w:val="22"/>
        </w:rPr>
        <w:t xml:space="preserve">) </w:t>
      </w:r>
      <w:r w:rsidR="006D1EB3" w:rsidRPr="000412A1">
        <w:rPr>
          <w:sz w:val="22"/>
          <w:szCs w:val="22"/>
        </w:rPr>
        <w:t>or conductivity</w:t>
      </w:r>
      <w:r w:rsidR="00971788" w:rsidRPr="000412A1">
        <w:rPr>
          <w:sz w:val="22"/>
          <w:szCs w:val="22"/>
        </w:rPr>
        <w:t xml:space="preserve"> associated with this test</w:t>
      </w:r>
      <w:r w:rsidR="00A14189" w:rsidRPr="000412A1">
        <w:rPr>
          <w:sz w:val="22"/>
          <w:szCs w:val="22"/>
        </w:rPr>
        <w:t>)</w:t>
      </w:r>
      <w:r w:rsidR="004A0755" w:rsidRPr="000412A1">
        <w:rPr>
          <w:sz w:val="22"/>
          <w:szCs w:val="22"/>
        </w:rPr>
        <w:t xml:space="preserve">. </w:t>
      </w:r>
      <w:r w:rsidR="006D1EB3" w:rsidRPr="000412A1">
        <w:rPr>
          <w:sz w:val="22"/>
          <w:szCs w:val="22"/>
        </w:rPr>
        <w:t>The</w:t>
      </w:r>
      <w:r w:rsidR="0037723D" w:rsidRPr="000412A1">
        <w:rPr>
          <w:sz w:val="22"/>
          <w:szCs w:val="22"/>
        </w:rPr>
        <w:t xml:space="preserve"> obtained</w:t>
      </w:r>
      <w:r w:rsidR="006D1EB3" w:rsidRPr="000412A1">
        <w:rPr>
          <w:sz w:val="22"/>
          <w:szCs w:val="22"/>
        </w:rPr>
        <w:t xml:space="preserve"> results after</w:t>
      </w:r>
      <w:r w:rsidR="006767E4" w:rsidRPr="000412A1">
        <w:rPr>
          <w:sz w:val="22"/>
          <w:szCs w:val="22"/>
        </w:rPr>
        <w:t xml:space="preserve"> 5 </w:t>
      </w:r>
      <w:r w:rsidR="00971788" w:rsidRPr="000412A1">
        <w:rPr>
          <w:sz w:val="22"/>
          <w:szCs w:val="22"/>
        </w:rPr>
        <w:t>min</w:t>
      </w:r>
      <w:r w:rsidR="009968AA" w:rsidRPr="000412A1">
        <w:rPr>
          <w:sz w:val="22"/>
          <w:szCs w:val="22"/>
        </w:rPr>
        <w:t>utes</w:t>
      </w:r>
      <w:r w:rsidR="00971788" w:rsidRPr="000412A1">
        <w:rPr>
          <w:sz w:val="22"/>
          <w:szCs w:val="22"/>
        </w:rPr>
        <w:t xml:space="preserve"> </w:t>
      </w:r>
      <w:r w:rsidR="006D1EB3" w:rsidRPr="000412A1">
        <w:rPr>
          <w:sz w:val="22"/>
          <w:szCs w:val="22"/>
        </w:rPr>
        <w:t xml:space="preserve">of </w:t>
      </w:r>
      <w:r w:rsidR="006767E4" w:rsidRPr="000412A1">
        <w:rPr>
          <w:sz w:val="22"/>
          <w:szCs w:val="22"/>
        </w:rPr>
        <w:t>treatment did not show</w:t>
      </w:r>
      <w:r w:rsidR="00EF51DB" w:rsidRPr="000412A1">
        <w:rPr>
          <w:sz w:val="22"/>
          <w:szCs w:val="22"/>
        </w:rPr>
        <w:t xml:space="preserve"> significant differences between </w:t>
      </w:r>
      <w:r w:rsidR="006767E4" w:rsidRPr="000412A1">
        <w:rPr>
          <w:sz w:val="22"/>
          <w:szCs w:val="22"/>
        </w:rPr>
        <w:t>them</w:t>
      </w:r>
      <w:r w:rsidR="00A14189" w:rsidRPr="000412A1">
        <w:rPr>
          <w:sz w:val="22"/>
          <w:szCs w:val="22"/>
        </w:rPr>
        <w:t>, with</w:t>
      </w:r>
      <w:r w:rsidR="00971788" w:rsidRPr="000412A1">
        <w:rPr>
          <w:sz w:val="22"/>
          <w:szCs w:val="22"/>
        </w:rPr>
        <w:t xml:space="preserve"> all </w:t>
      </w:r>
      <w:r w:rsidR="0061730C" w:rsidRPr="000412A1">
        <w:rPr>
          <w:sz w:val="22"/>
          <w:szCs w:val="22"/>
        </w:rPr>
        <w:t xml:space="preserve">treated samples </w:t>
      </w:r>
      <w:r w:rsidR="00A14189" w:rsidRPr="000412A1">
        <w:rPr>
          <w:sz w:val="22"/>
          <w:szCs w:val="22"/>
        </w:rPr>
        <w:t xml:space="preserve">having </w:t>
      </w:r>
      <w:r w:rsidR="00EF51DB" w:rsidRPr="000412A1">
        <w:rPr>
          <w:sz w:val="22"/>
          <w:szCs w:val="22"/>
        </w:rPr>
        <w:t>similar conductivity</w:t>
      </w:r>
      <w:r w:rsidR="006767E4" w:rsidRPr="000412A1">
        <w:rPr>
          <w:sz w:val="22"/>
          <w:szCs w:val="22"/>
        </w:rPr>
        <w:t xml:space="preserve"> </w:t>
      </w:r>
      <w:r w:rsidR="00971788" w:rsidRPr="000412A1">
        <w:rPr>
          <w:sz w:val="22"/>
          <w:szCs w:val="22"/>
        </w:rPr>
        <w:t xml:space="preserve">and </w:t>
      </w:r>
      <w:r w:rsidR="00A14189" w:rsidRPr="000412A1">
        <w:rPr>
          <w:sz w:val="22"/>
          <w:szCs w:val="22"/>
        </w:rPr>
        <w:t xml:space="preserve">current density </w:t>
      </w:r>
      <w:r w:rsidR="00971788" w:rsidRPr="000412A1">
        <w:rPr>
          <w:sz w:val="22"/>
          <w:szCs w:val="22"/>
        </w:rPr>
        <w:t>value</w:t>
      </w:r>
      <w:r w:rsidR="00A14189" w:rsidRPr="000412A1">
        <w:rPr>
          <w:sz w:val="22"/>
          <w:szCs w:val="22"/>
        </w:rPr>
        <w:t>s</w:t>
      </w:r>
      <w:r w:rsidR="00971788" w:rsidRPr="000412A1">
        <w:rPr>
          <w:sz w:val="22"/>
          <w:szCs w:val="22"/>
        </w:rPr>
        <w:t xml:space="preserve"> of</w:t>
      </w:r>
      <w:r w:rsidR="00EF51DB" w:rsidRPr="000412A1">
        <w:rPr>
          <w:sz w:val="22"/>
          <w:szCs w:val="22"/>
        </w:rPr>
        <w:t xml:space="preserve"> 5.5 </w:t>
      </w:r>
      <w:r w:rsidR="00A14189" w:rsidRPr="000412A1">
        <w:rPr>
          <w:sz w:val="22"/>
          <w:szCs w:val="22"/>
        </w:rPr>
        <w:t>(P1)</w:t>
      </w:r>
      <w:r w:rsidR="00EF51DB" w:rsidRPr="000412A1">
        <w:rPr>
          <w:sz w:val="22"/>
          <w:szCs w:val="22"/>
        </w:rPr>
        <w:t xml:space="preserve">, </w:t>
      </w:r>
      <w:r w:rsidR="00A14189" w:rsidRPr="000412A1">
        <w:rPr>
          <w:sz w:val="22"/>
          <w:szCs w:val="22"/>
        </w:rPr>
        <w:t xml:space="preserve">10.7 </w:t>
      </w:r>
      <w:r w:rsidR="00EF51DB" w:rsidRPr="000412A1">
        <w:rPr>
          <w:sz w:val="22"/>
          <w:szCs w:val="22"/>
        </w:rPr>
        <w:t>(</w:t>
      </w:r>
      <w:r w:rsidR="00A14189" w:rsidRPr="000412A1">
        <w:rPr>
          <w:sz w:val="22"/>
          <w:szCs w:val="22"/>
        </w:rPr>
        <w:t>P2</w:t>
      </w:r>
      <w:r w:rsidR="00EF51DB" w:rsidRPr="000412A1">
        <w:rPr>
          <w:sz w:val="22"/>
          <w:szCs w:val="22"/>
        </w:rPr>
        <w:t>)</w:t>
      </w:r>
      <w:r w:rsidR="00FD7C26">
        <w:rPr>
          <w:sz w:val="22"/>
          <w:szCs w:val="22"/>
        </w:rPr>
        <w:t xml:space="preserve">, </w:t>
      </w:r>
      <w:r w:rsidR="00EF51DB" w:rsidRPr="000412A1">
        <w:rPr>
          <w:sz w:val="22"/>
          <w:szCs w:val="22"/>
        </w:rPr>
        <w:t xml:space="preserve">and </w:t>
      </w:r>
      <w:r w:rsidR="00A14189" w:rsidRPr="000412A1">
        <w:rPr>
          <w:sz w:val="22"/>
          <w:szCs w:val="22"/>
        </w:rPr>
        <w:t>11.7 mA cm</w:t>
      </w:r>
      <w:r w:rsidR="0037723D" w:rsidRPr="000412A1">
        <w:rPr>
          <w:sz w:val="22"/>
          <w:szCs w:val="22"/>
          <w:vertAlign w:val="superscript"/>
        </w:rPr>
        <w:t>–</w:t>
      </w:r>
      <w:r w:rsidR="00A14189" w:rsidRPr="000412A1">
        <w:rPr>
          <w:sz w:val="22"/>
          <w:szCs w:val="22"/>
          <w:vertAlign w:val="superscript"/>
        </w:rPr>
        <w:t>2</w:t>
      </w:r>
      <w:r w:rsidR="00EF51DB" w:rsidRPr="000412A1">
        <w:rPr>
          <w:sz w:val="22"/>
          <w:szCs w:val="22"/>
        </w:rPr>
        <w:t xml:space="preserve"> (</w:t>
      </w:r>
      <w:r w:rsidR="00A14189" w:rsidRPr="000412A1">
        <w:rPr>
          <w:sz w:val="22"/>
          <w:szCs w:val="22"/>
        </w:rPr>
        <w:t>P3</w:t>
      </w:r>
      <w:r w:rsidR="00EF51DB" w:rsidRPr="000412A1">
        <w:rPr>
          <w:sz w:val="22"/>
          <w:szCs w:val="22"/>
        </w:rPr>
        <w:t>).</w:t>
      </w:r>
      <w:r w:rsidR="006767E4" w:rsidRPr="000412A1">
        <w:rPr>
          <w:sz w:val="22"/>
          <w:szCs w:val="22"/>
        </w:rPr>
        <w:t xml:space="preserve"> Nevertheless,</w:t>
      </w:r>
      <w:r w:rsidR="00EF51DB" w:rsidRPr="000412A1">
        <w:rPr>
          <w:sz w:val="22"/>
          <w:szCs w:val="22"/>
        </w:rPr>
        <w:t xml:space="preserve"> </w:t>
      </w:r>
      <w:r w:rsidR="0061730C" w:rsidRPr="000412A1">
        <w:rPr>
          <w:sz w:val="22"/>
          <w:szCs w:val="22"/>
        </w:rPr>
        <w:t xml:space="preserve">the </w:t>
      </w:r>
      <w:r w:rsidR="00EF51DB" w:rsidRPr="000412A1">
        <w:rPr>
          <w:sz w:val="22"/>
          <w:szCs w:val="22"/>
        </w:rPr>
        <w:t>P4 treatment show</w:t>
      </w:r>
      <w:r w:rsidR="00971788" w:rsidRPr="000412A1">
        <w:rPr>
          <w:sz w:val="22"/>
          <w:szCs w:val="22"/>
        </w:rPr>
        <w:t>ed</w:t>
      </w:r>
      <w:r w:rsidR="00EF51DB" w:rsidRPr="000412A1">
        <w:rPr>
          <w:sz w:val="22"/>
          <w:szCs w:val="22"/>
        </w:rPr>
        <w:t xml:space="preserve"> </w:t>
      </w:r>
      <w:r w:rsidR="0061730C" w:rsidRPr="000412A1">
        <w:rPr>
          <w:sz w:val="22"/>
          <w:szCs w:val="22"/>
        </w:rPr>
        <w:t xml:space="preserve">the highest </w:t>
      </w:r>
      <w:r w:rsidR="00EF51DB" w:rsidRPr="000412A1">
        <w:rPr>
          <w:sz w:val="22"/>
          <w:szCs w:val="22"/>
        </w:rPr>
        <w:t xml:space="preserve">solubilisation </w:t>
      </w:r>
      <w:r w:rsidR="004A0755" w:rsidRPr="000412A1">
        <w:rPr>
          <w:sz w:val="22"/>
          <w:szCs w:val="22"/>
        </w:rPr>
        <w:t xml:space="preserve">compared </w:t>
      </w:r>
      <w:r w:rsidR="0061730C" w:rsidRPr="000412A1">
        <w:rPr>
          <w:sz w:val="22"/>
          <w:szCs w:val="22"/>
        </w:rPr>
        <w:t xml:space="preserve">to </w:t>
      </w:r>
      <w:r w:rsidR="004A0755" w:rsidRPr="000412A1">
        <w:rPr>
          <w:sz w:val="22"/>
          <w:szCs w:val="22"/>
        </w:rPr>
        <w:t>previous treatments (P1</w:t>
      </w:r>
      <w:r w:rsidR="0061730C" w:rsidRPr="000412A1">
        <w:rPr>
          <w:sz w:val="22"/>
          <w:szCs w:val="22"/>
        </w:rPr>
        <w:t>, P2</w:t>
      </w:r>
      <w:r w:rsidR="00FD7C26">
        <w:rPr>
          <w:sz w:val="22"/>
          <w:szCs w:val="22"/>
        </w:rPr>
        <w:t>,</w:t>
      </w:r>
      <w:r w:rsidR="0061730C" w:rsidRPr="000412A1">
        <w:rPr>
          <w:sz w:val="22"/>
          <w:szCs w:val="22"/>
        </w:rPr>
        <w:t xml:space="preserve"> and</w:t>
      </w:r>
      <w:r w:rsidR="004A0755" w:rsidRPr="000412A1">
        <w:rPr>
          <w:sz w:val="22"/>
          <w:szCs w:val="22"/>
        </w:rPr>
        <w:t xml:space="preserve"> P3)</w:t>
      </w:r>
      <w:r w:rsidR="00AF703B" w:rsidRPr="000412A1">
        <w:rPr>
          <w:sz w:val="22"/>
          <w:szCs w:val="22"/>
        </w:rPr>
        <w:t>,</w:t>
      </w:r>
      <w:r w:rsidR="004A0755" w:rsidRPr="000412A1">
        <w:rPr>
          <w:sz w:val="22"/>
          <w:szCs w:val="22"/>
        </w:rPr>
        <w:t xml:space="preserve"> </w:t>
      </w:r>
      <w:r w:rsidR="00971788" w:rsidRPr="000412A1">
        <w:rPr>
          <w:sz w:val="22"/>
          <w:szCs w:val="22"/>
        </w:rPr>
        <w:t xml:space="preserve">which </w:t>
      </w:r>
      <w:r w:rsidR="00AC07B4" w:rsidRPr="000412A1">
        <w:rPr>
          <w:sz w:val="22"/>
          <w:szCs w:val="22"/>
        </w:rPr>
        <w:t>wa</w:t>
      </w:r>
      <w:r w:rsidR="00971788" w:rsidRPr="000412A1">
        <w:rPr>
          <w:sz w:val="22"/>
          <w:szCs w:val="22"/>
        </w:rPr>
        <w:t xml:space="preserve">s due to </w:t>
      </w:r>
      <w:r w:rsidR="00EF51DB" w:rsidRPr="000412A1">
        <w:rPr>
          <w:sz w:val="22"/>
          <w:szCs w:val="22"/>
        </w:rPr>
        <w:t xml:space="preserve">current density </w:t>
      </w:r>
      <w:r w:rsidR="00AC07B4" w:rsidRPr="000412A1">
        <w:rPr>
          <w:sz w:val="22"/>
          <w:szCs w:val="22"/>
        </w:rPr>
        <w:t>(</w:t>
      </w:r>
      <w:r w:rsidR="00EF51DB" w:rsidRPr="000412A1">
        <w:rPr>
          <w:sz w:val="22"/>
          <w:szCs w:val="22"/>
        </w:rPr>
        <w:t>18.8 mA cm</w:t>
      </w:r>
      <w:r w:rsidR="0037723D" w:rsidRPr="000412A1">
        <w:rPr>
          <w:sz w:val="22"/>
          <w:szCs w:val="22"/>
          <w:vertAlign w:val="superscript"/>
        </w:rPr>
        <w:t>–</w:t>
      </w:r>
      <w:r w:rsidR="00EF51DB" w:rsidRPr="000412A1">
        <w:rPr>
          <w:sz w:val="22"/>
          <w:szCs w:val="22"/>
          <w:vertAlign w:val="superscript"/>
        </w:rPr>
        <w:t>2</w:t>
      </w:r>
      <w:r w:rsidR="00AC07B4" w:rsidRPr="000412A1">
        <w:rPr>
          <w:sz w:val="22"/>
          <w:szCs w:val="22"/>
        </w:rPr>
        <w:t xml:space="preserve">) </w:t>
      </w:r>
      <w:r w:rsidR="00EF51DB" w:rsidRPr="000412A1">
        <w:rPr>
          <w:sz w:val="22"/>
          <w:szCs w:val="22"/>
        </w:rPr>
        <w:t xml:space="preserve">and conductivity </w:t>
      </w:r>
      <w:r w:rsidR="00AC07B4" w:rsidRPr="000412A1">
        <w:rPr>
          <w:sz w:val="22"/>
          <w:szCs w:val="22"/>
        </w:rPr>
        <w:t>(</w:t>
      </w:r>
      <w:r w:rsidR="00EF51DB" w:rsidRPr="000412A1">
        <w:rPr>
          <w:sz w:val="22"/>
          <w:szCs w:val="22"/>
        </w:rPr>
        <w:t>16.6 mS cm</w:t>
      </w:r>
      <w:r w:rsidR="0037723D" w:rsidRPr="000412A1">
        <w:rPr>
          <w:sz w:val="22"/>
          <w:szCs w:val="22"/>
          <w:vertAlign w:val="superscript"/>
        </w:rPr>
        <w:t>–</w:t>
      </w:r>
      <w:r w:rsidR="00EF51DB" w:rsidRPr="000412A1">
        <w:rPr>
          <w:sz w:val="22"/>
          <w:szCs w:val="22"/>
          <w:vertAlign w:val="superscript"/>
        </w:rPr>
        <w:t>2</w:t>
      </w:r>
      <w:r w:rsidR="00AC07B4" w:rsidRPr="000412A1">
        <w:rPr>
          <w:sz w:val="22"/>
          <w:szCs w:val="22"/>
        </w:rPr>
        <w:t xml:space="preserve">) </w:t>
      </w:r>
      <w:r w:rsidR="00FD7C26">
        <w:rPr>
          <w:sz w:val="22"/>
          <w:szCs w:val="22"/>
        </w:rPr>
        <w:t xml:space="preserve">being </w:t>
      </w:r>
      <w:r w:rsidR="00AC07B4" w:rsidRPr="000412A1">
        <w:rPr>
          <w:sz w:val="22"/>
          <w:szCs w:val="22"/>
        </w:rPr>
        <w:t xml:space="preserve">applied </w:t>
      </w:r>
      <w:r w:rsidR="00AF703B" w:rsidRPr="000412A1">
        <w:rPr>
          <w:sz w:val="22"/>
          <w:szCs w:val="22"/>
        </w:rPr>
        <w:t xml:space="preserve">on </w:t>
      </w:r>
      <w:r w:rsidR="00971788" w:rsidRPr="000412A1">
        <w:rPr>
          <w:sz w:val="22"/>
          <w:szCs w:val="22"/>
        </w:rPr>
        <w:t>this test</w:t>
      </w:r>
      <w:r w:rsidR="00AC07B4" w:rsidRPr="000412A1">
        <w:rPr>
          <w:sz w:val="22"/>
          <w:szCs w:val="22"/>
        </w:rPr>
        <w:t>, with almost doubl</w:t>
      </w:r>
      <w:r w:rsidR="00FD7C26">
        <w:rPr>
          <w:sz w:val="22"/>
          <w:szCs w:val="22"/>
        </w:rPr>
        <w:t>e</w:t>
      </w:r>
      <w:r w:rsidR="00FD7C26" w:rsidRPr="00FD7C26">
        <w:rPr>
          <w:sz w:val="22"/>
          <w:szCs w:val="22"/>
        </w:rPr>
        <w:t xml:space="preserve"> </w:t>
      </w:r>
      <w:r w:rsidR="00FD7C26" w:rsidRPr="000412A1">
        <w:rPr>
          <w:sz w:val="22"/>
          <w:szCs w:val="22"/>
        </w:rPr>
        <w:t>values</w:t>
      </w:r>
      <w:r w:rsidR="00AC07B4" w:rsidRPr="000412A1">
        <w:rPr>
          <w:sz w:val="22"/>
          <w:szCs w:val="22"/>
        </w:rPr>
        <w:t xml:space="preserve"> those of other treatments</w:t>
      </w:r>
      <w:r w:rsidR="001D7A92" w:rsidRPr="000412A1">
        <w:rPr>
          <w:sz w:val="22"/>
          <w:szCs w:val="22"/>
        </w:rPr>
        <w:t>.</w:t>
      </w:r>
      <w:r w:rsidR="004A0755" w:rsidRPr="000412A1">
        <w:rPr>
          <w:sz w:val="22"/>
          <w:szCs w:val="22"/>
        </w:rPr>
        <w:t xml:space="preserve"> </w:t>
      </w:r>
    </w:p>
    <w:p w14:paraId="3C7707BD" w14:textId="284DBA66" w:rsidR="00203457" w:rsidRPr="000412A1" w:rsidRDefault="00203457" w:rsidP="000D47AE">
      <w:pPr>
        <w:spacing w:after="160" w:line="480" w:lineRule="auto"/>
        <w:rPr>
          <w:sz w:val="22"/>
          <w:szCs w:val="22"/>
        </w:rPr>
      </w:pPr>
      <w:r w:rsidRPr="000412A1">
        <w:rPr>
          <w:noProof/>
          <w:sz w:val="22"/>
          <w:szCs w:val="22"/>
          <w:lang w:val="es-ES" w:eastAsia="es-ES"/>
        </w:rPr>
        <w:drawing>
          <wp:inline distT="0" distB="0" distL="0" distR="0" wp14:anchorId="48F49BB8" wp14:editId="0E9ACAEE">
            <wp:extent cx="2880000" cy="220369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2203690"/>
                    </a:xfrm>
                    <a:prstGeom prst="rect">
                      <a:avLst/>
                    </a:prstGeom>
                  </pic:spPr>
                </pic:pic>
              </a:graphicData>
            </a:graphic>
          </wp:inline>
        </w:drawing>
      </w:r>
    </w:p>
    <w:p w14:paraId="593AB678" w14:textId="7B51B524" w:rsidR="00203457" w:rsidRPr="000412A1" w:rsidRDefault="00203457" w:rsidP="00203457">
      <w:pPr>
        <w:pStyle w:val="Epgrafe"/>
        <w:rPr>
          <w:i w:val="0"/>
          <w:color w:val="auto"/>
          <w:sz w:val="22"/>
          <w:szCs w:val="22"/>
        </w:rPr>
      </w:pPr>
      <w:bookmarkStart w:id="7" w:name="_Ref33005073"/>
      <w:r w:rsidRPr="009A0A82">
        <w:rPr>
          <w:b/>
          <w:bCs/>
          <w:i w:val="0"/>
          <w:color w:val="auto"/>
          <w:sz w:val="22"/>
          <w:szCs w:val="22"/>
        </w:rPr>
        <w:lastRenderedPageBreak/>
        <w:t>Fig</w:t>
      </w:r>
      <w:r w:rsidR="0037723D" w:rsidRPr="009A0A82">
        <w:rPr>
          <w:b/>
          <w:bCs/>
          <w:i w:val="0"/>
          <w:color w:val="auto"/>
          <w:sz w:val="22"/>
          <w:szCs w:val="22"/>
        </w:rPr>
        <w:t>ure</w:t>
      </w:r>
      <w:r w:rsidR="0037723D" w:rsidRPr="000412A1">
        <w:rPr>
          <w:b/>
          <w:bCs/>
          <w:i w:val="0"/>
          <w:color w:val="auto"/>
          <w:sz w:val="22"/>
          <w:szCs w:val="22"/>
        </w:rPr>
        <w:t xml:space="preserve"> </w:t>
      </w:r>
      <w:bookmarkEnd w:id="7"/>
      <w:r w:rsidR="00CB231F" w:rsidRPr="009A0A82">
        <w:rPr>
          <w:b/>
          <w:bCs/>
          <w:i w:val="0"/>
          <w:color w:val="auto"/>
          <w:sz w:val="22"/>
          <w:szCs w:val="22"/>
        </w:rPr>
        <w:t>4</w:t>
      </w:r>
      <w:r w:rsidRPr="000412A1">
        <w:rPr>
          <w:i w:val="0"/>
          <w:color w:val="auto"/>
          <w:sz w:val="22"/>
          <w:szCs w:val="22"/>
        </w:rPr>
        <w:t>. Organic</w:t>
      </w:r>
      <w:r w:rsidR="00714990">
        <w:rPr>
          <w:i w:val="0"/>
          <w:color w:val="auto"/>
          <w:sz w:val="22"/>
          <w:szCs w:val="22"/>
        </w:rPr>
        <w:t xml:space="preserve"> </w:t>
      </w:r>
      <w:r w:rsidRPr="000412A1">
        <w:rPr>
          <w:i w:val="0"/>
          <w:color w:val="auto"/>
          <w:sz w:val="22"/>
          <w:szCs w:val="22"/>
        </w:rPr>
        <w:t xml:space="preserve">material content before and after </w:t>
      </w:r>
      <w:r w:rsidR="00204F63" w:rsidRPr="000412A1">
        <w:rPr>
          <w:i w:val="0"/>
          <w:sz w:val="22"/>
          <w:szCs w:val="22"/>
        </w:rPr>
        <w:t>electro</w:t>
      </w:r>
      <w:r w:rsidR="0037723D" w:rsidRPr="000412A1">
        <w:rPr>
          <w:i w:val="0"/>
          <w:sz w:val="22"/>
          <w:szCs w:val="22"/>
        </w:rPr>
        <w:t>-</w:t>
      </w:r>
      <w:r w:rsidR="00204F63" w:rsidRPr="000412A1">
        <w:rPr>
          <w:i w:val="0"/>
          <w:sz w:val="22"/>
          <w:szCs w:val="22"/>
        </w:rPr>
        <w:t>oxidation</w:t>
      </w:r>
      <w:r w:rsidRPr="000412A1">
        <w:rPr>
          <w:i w:val="0"/>
          <w:color w:val="auto"/>
          <w:sz w:val="22"/>
          <w:szCs w:val="22"/>
        </w:rPr>
        <w:t xml:space="preserve"> post-treatment of sludge digestate.</w:t>
      </w:r>
    </w:p>
    <w:p w14:paraId="7BE6ED8C" w14:textId="77777777" w:rsidR="00203457" w:rsidRPr="000412A1" w:rsidRDefault="00203457" w:rsidP="00AA72EF">
      <w:pPr>
        <w:spacing w:after="160" w:line="480" w:lineRule="auto"/>
        <w:rPr>
          <w:sz w:val="22"/>
          <w:szCs w:val="22"/>
        </w:rPr>
      </w:pPr>
    </w:p>
    <w:p w14:paraId="4F89C56D" w14:textId="08F13700" w:rsidR="000D47AE" w:rsidRPr="000412A1" w:rsidRDefault="008D2DC9" w:rsidP="00AA72EF">
      <w:pPr>
        <w:spacing w:after="160" w:line="480" w:lineRule="auto"/>
        <w:rPr>
          <w:sz w:val="22"/>
          <w:szCs w:val="22"/>
        </w:rPr>
      </w:pPr>
      <w:r w:rsidRPr="000412A1">
        <w:rPr>
          <w:sz w:val="22"/>
          <w:szCs w:val="22"/>
        </w:rPr>
        <w:t xml:space="preserve">Drying curves </w:t>
      </w:r>
      <w:r w:rsidR="00217D8D" w:rsidRPr="000412A1">
        <w:rPr>
          <w:sz w:val="22"/>
          <w:szCs w:val="22"/>
        </w:rPr>
        <w:t>reporting on</w:t>
      </w:r>
      <w:r w:rsidRPr="000412A1">
        <w:rPr>
          <w:sz w:val="22"/>
          <w:szCs w:val="22"/>
        </w:rPr>
        <w:t xml:space="preserve"> water distribution </w:t>
      </w:r>
      <w:r w:rsidR="00217D8D" w:rsidRPr="000412A1">
        <w:rPr>
          <w:sz w:val="22"/>
          <w:szCs w:val="22"/>
        </w:rPr>
        <w:t>show</w:t>
      </w:r>
      <w:r w:rsidRPr="000412A1">
        <w:rPr>
          <w:sz w:val="22"/>
          <w:szCs w:val="22"/>
        </w:rPr>
        <w:t xml:space="preserve"> three characteristic zones</w:t>
      </w:r>
      <w:r w:rsidR="00FD7C26">
        <w:rPr>
          <w:sz w:val="22"/>
          <w:szCs w:val="22"/>
        </w:rPr>
        <w:t>.</w:t>
      </w:r>
      <w:r w:rsidRPr="000412A1">
        <w:rPr>
          <w:sz w:val="22"/>
          <w:szCs w:val="22"/>
        </w:rPr>
        <w:t xml:space="preserve"> </w:t>
      </w:r>
      <w:r w:rsidR="00FD7C26">
        <w:rPr>
          <w:sz w:val="22"/>
          <w:szCs w:val="22"/>
        </w:rPr>
        <w:t>T</w:t>
      </w:r>
      <w:r w:rsidR="00FD7C26" w:rsidRPr="000412A1">
        <w:rPr>
          <w:sz w:val="22"/>
          <w:szCs w:val="22"/>
        </w:rPr>
        <w:t xml:space="preserve">he </w:t>
      </w:r>
      <w:r w:rsidRPr="000412A1">
        <w:rPr>
          <w:sz w:val="22"/>
          <w:szCs w:val="22"/>
        </w:rPr>
        <w:t xml:space="preserve">upper </w:t>
      </w:r>
      <w:r w:rsidR="007B1571" w:rsidRPr="000412A1">
        <w:rPr>
          <w:sz w:val="22"/>
          <w:szCs w:val="22"/>
        </w:rPr>
        <w:t xml:space="preserve">one </w:t>
      </w:r>
      <w:r w:rsidRPr="000412A1">
        <w:rPr>
          <w:sz w:val="22"/>
          <w:szCs w:val="22"/>
        </w:rPr>
        <w:t xml:space="preserve">corresponds to free water associated with solid particles, the middle </w:t>
      </w:r>
      <w:r w:rsidR="007B1571" w:rsidRPr="000412A1">
        <w:rPr>
          <w:sz w:val="22"/>
          <w:szCs w:val="22"/>
        </w:rPr>
        <w:t xml:space="preserve">one </w:t>
      </w:r>
      <w:r w:rsidRPr="000412A1">
        <w:rPr>
          <w:sz w:val="22"/>
          <w:szCs w:val="22"/>
        </w:rPr>
        <w:t xml:space="preserve">is </w:t>
      </w:r>
      <w:r w:rsidR="007B1571" w:rsidRPr="000412A1">
        <w:rPr>
          <w:sz w:val="22"/>
          <w:szCs w:val="22"/>
        </w:rPr>
        <w:t xml:space="preserve">associated with </w:t>
      </w:r>
      <w:r w:rsidRPr="000412A1">
        <w:rPr>
          <w:sz w:val="22"/>
          <w:szCs w:val="22"/>
        </w:rPr>
        <w:t>interstitial water (trapped inside interstitial spaces of flocs and micr</w:t>
      </w:r>
      <w:r w:rsidR="001E7DCA" w:rsidRPr="000412A1">
        <w:rPr>
          <w:sz w:val="22"/>
          <w:szCs w:val="22"/>
        </w:rPr>
        <w:t>o-o</w:t>
      </w:r>
      <w:r w:rsidRPr="000412A1">
        <w:rPr>
          <w:sz w:val="22"/>
          <w:szCs w:val="22"/>
        </w:rPr>
        <w:t xml:space="preserve">rganisms), and the lower </w:t>
      </w:r>
      <w:r w:rsidR="007B1571" w:rsidRPr="000412A1">
        <w:rPr>
          <w:sz w:val="22"/>
          <w:szCs w:val="22"/>
        </w:rPr>
        <w:t xml:space="preserve">one </w:t>
      </w:r>
      <w:r w:rsidRPr="000412A1">
        <w:rPr>
          <w:sz w:val="22"/>
          <w:szCs w:val="22"/>
        </w:rPr>
        <w:t>refers to chemically bound water (</w:t>
      </w:r>
      <w:r w:rsidR="0037723D" w:rsidRPr="000412A1">
        <w:rPr>
          <w:sz w:val="22"/>
          <w:szCs w:val="22"/>
        </w:rPr>
        <w:t>S</w:t>
      </w:r>
      <w:r w:rsidR="00420135" w:rsidRPr="000412A1">
        <w:rPr>
          <w:sz w:val="22"/>
          <w:szCs w:val="22"/>
        </w:rPr>
        <w:t>upplementary</w:t>
      </w:r>
      <w:r w:rsidRPr="000412A1">
        <w:rPr>
          <w:sz w:val="22"/>
          <w:szCs w:val="22"/>
        </w:rPr>
        <w:t xml:space="preserve"> Figure S1a</w:t>
      </w:r>
      <w:proofErr w:type="gramStart"/>
      <w:r w:rsidR="0037723D" w:rsidRPr="000412A1">
        <w:rPr>
          <w:sz w:val="22"/>
          <w:szCs w:val="22"/>
        </w:rPr>
        <w:t>,</w:t>
      </w:r>
      <w:r w:rsidRPr="000412A1">
        <w:rPr>
          <w:sz w:val="22"/>
          <w:szCs w:val="22"/>
        </w:rPr>
        <w:t>b</w:t>
      </w:r>
      <w:proofErr w:type="gramEnd"/>
      <w:r w:rsidRPr="000412A1">
        <w:rPr>
          <w:sz w:val="22"/>
          <w:szCs w:val="22"/>
        </w:rPr>
        <w:t>).</w:t>
      </w:r>
      <w:r w:rsidR="001455FD" w:rsidRPr="000412A1">
        <w:rPr>
          <w:sz w:val="22"/>
          <w:szCs w:val="22"/>
        </w:rPr>
        <w:t xml:space="preserve"> </w:t>
      </w:r>
      <w:r w:rsidR="00066FE9" w:rsidRPr="000412A1">
        <w:rPr>
          <w:sz w:val="22"/>
          <w:szCs w:val="22"/>
        </w:rPr>
        <w:t xml:space="preserve">Interpretations of </w:t>
      </w:r>
      <w:r w:rsidR="001455FD" w:rsidRPr="000412A1">
        <w:rPr>
          <w:sz w:val="22"/>
          <w:szCs w:val="22"/>
        </w:rPr>
        <w:t xml:space="preserve">these </w:t>
      </w:r>
      <w:r w:rsidR="00066FE9" w:rsidRPr="000412A1">
        <w:rPr>
          <w:sz w:val="22"/>
          <w:szCs w:val="22"/>
        </w:rPr>
        <w:t>curves</w:t>
      </w:r>
      <w:r w:rsidR="009A4C64" w:rsidRPr="000412A1">
        <w:rPr>
          <w:sz w:val="22"/>
          <w:szCs w:val="22"/>
        </w:rPr>
        <w:t>,</w:t>
      </w:r>
      <w:r w:rsidR="00066FE9" w:rsidRPr="000412A1">
        <w:rPr>
          <w:sz w:val="22"/>
          <w:szCs w:val="22"/>
        </w:rPr>
        <w:t xml:space="preserve"> </w:t>
      </w:r>
      <w:r w:rsidR="001455FD" w:rsidRPr="000412A1">
        <w:rPr>
          <w:sz w:val="22"/>
          <w:szCs w:val="22"/>
        </w:rPr>
        <w:t xml:space="preserve">which </w:t>
      </w:r>
      <w:r w:rsidR="00066FE9" w:rsidRPr="000412A1">
        <w:rPr>
          <w:sz w:val="22"/>
          <w:szCs w:val="22"/>
        </w:rPr>
        <w:t>resulted from</w:t>
      </w:r>
      <w:r w:rsidR="00FD7C26">
        <w:rPr>
          <w:sz w:val="22"/>
          <w:szCs w:val="22"/>
        </w:rPr>
        <w:t xml:space="preserve"> the</w:t>
      </w:r>
      <w:r w:rsidR="00066FE9" w:rsidRPr="000412A1">
        <w:rPr>
          <w:sz w:val="22"/>
          <w:szCs w:val="22"/>
        </w:rPr>
        <w:t xml:space="preserve"> digestate </w:t>
      </w:r>
      <w:r w:rsidR="001455FD" w:rsidRPr="000412A1">
        <w:rPr>
          <w:sz w:val="22"/>
          <w:szCs w:val="22"/>
        </w:rPr>
        <w:t xml:space="preserve">sample </w:t>
      </w:r>
      <w:r w:rsidR="00066FE9" w:rsidRPr="000412A1">
        <w:rPr>
          <w:sz w:val="22"/>
          <w:szCs w:val="22"/>
        </w:rPr>
        <w:t>and the five electr</w:t>
      </w:r>
      <w:r w:rsidR="001E7DCA" w:rsidRPr="000412A1">
        <w:rPr>
          <w:sz w:val="22"/>
          <w:szCs w:val="22"/>
        </w:rPr>
        <w:t>o-o</w:t>
      </w:r>
      <w:r w:rsidR="00066FE9" w:rsidRPr="000412A1">
        <w:rPr>
          <w:sz w:val="22"/>
          <w:szCs w:val="22"/>
        </w:rPr>
        <w:t xml:space="preserve">xidation </w:t>
      </w:r>
      <w:r w:rsidR="001455FD" w:rsidRPr="000412A1">
        <w:rPr>
          <w:sz w:val="22"/>
          <w:szCs w:val="22"/>
        </w:rPr>
        <w:t xml:space="preserve">tests, </w:t>
      </w:r>
      <w:r w:rsidR="00066FE9" w:rsidRPr="000412A1">
        <w:rPr>
          <w:sz w:val="22"/>
          <w:szCs w:val="22"/>
        </w:rPr>
        <w:t>were</w:t>
      </w:r>
      <w:r w:rsidR="006D2E4B" w:rsidRPr="000412A1">
        <w:rPr>
          <w:sz w:val="22"/>
          <w:szCs w:val="22"/>
        </w:rPr>
        <w:t xml:space="preserve"> adapted from </w:t>
      </w:r>
      <w:r w:rsidR="006D2E4B" w:rsidRPr="000412A1">
        <w:rPr>
          <w:sz w:val="22"/>
          <w:szCs w:val="22"/>
        </w:rPr>
        <w:fldChar w:fldCharType="begin" w:fldLock="1"/>
      </w:r>
      <w:r w:rsidR="00A07857" w:rsidRPr="000412A1">
        <w:rPr>
          <w:sz w:val="22"/>
          <w:szCs w:val="22"/>
        </w:rPr>
        <w:instrText>ADDIN CSL_CITATION { "citationItems" : [ { "id" : "ITEM-1", "itemData" : { "ISSN" : "02731223", "PMID" : "11443955", "abstract" : "The dewaterability of sewage sludge can be described by the total solids concentration of the sludge cake and the polymer-demand for conditioning. The total solids concentration of the sludge cake depends on the physical water distribution. The various types of water in sewage sludge are mainly distinguished by the type and the intensity of their physical bonding to the solids. In a sewage sludge suspension four different types of water can be distinguished. These are the free water, which is not bound to the particles, the interstitial water, which is bound by capillary forces between the sludge flocs, the surface water, which is bound by adhesive forces and intracellular water. Only the share of free water can be separated during mechanical dewatering. It can be shown, that by thermo-gravimeteric measurement of the free water content, an exact prediction of full-scale dewatering results is possible. By separation of all free water during centrifugation the maximum dewatering result is reached. Polymer conditioning increases the velocity of the sludge water release, but the free water content is not influenced by this process. Furthermore it is not possible, to replace the measuring of the water distribution by other individual parameters such as ignition loss.", "author" : [ { "dropping-particle" : "", "family" : "Kopp", "given" : "J.", "non-dropping-particle" : "", "parse-names" : false, "suffix" : "" }, { "dropping-particle" : "", "family" : "Dichtl", "given" : "N.", "non-dropping-particle" : "", "parse-names" : false, "suffix" : "" } ], "container-title" : "Water Science and Technology", "id" : "ITEM-1", "issue" : "11", "issued" : { "date-parts" : [ [ "2001" ] ] }, "page" : "135-143", "title" : "Prediction of full-scale dewatering results of sewage sludges by the physical water distribution", "type" : "paper-conference", "volume" : "43" }, "uris" : [ "http://www.mendeley.com/documents/?uuid=7edf62df-418d-4691-9422-0908052bfe15", "http://www.mendeley.com/documents/?uuid=8a985b1c-5e41-481e-8a69-84579d61ec55" ] } ], "mendeley" : { "formattedCitation" : "(Kopp and Dichtl, 2001)", "manualFormatting" : "Kopp and Dichtl (2001)", "plainTextFormattedCitation" : "(Kopp and Dichtl, 2001)", "previouslyFormattedCitation" : "(Kopp and Dichtl, 2001)" }, "properties" : {  }, "schema" : "https://github.com/citation-style-language/schema/raw/master/csl-citation.json" }</w:instrText>
      </w:r>
      <w:r w:rsidR="006D2E4B" w:rsidRPr="000412A1">
        <w:rPr>
          <w:sz w:val="22"/>
          <w:szCs w:val="22"/>
        </w:rPr>
        <w:fldChar w:fldCharType="separate"/>
      </w:r>
      <w:r w:rsidR="006D2E4B" w:rsidRPr="000412A1">
        <w:rPr>
          <w:noProof/>
          <w:sz w:val="22"/>
          <w:szCs w:val="22"/>
        </w:rPr>
        <w:t>Kopp and Dichtl (2001)</w:t>
      </w:r>
      <w:r w:rsidR="006D2E4B" w:rsidRPr="000412A1">
        <w:rPr>
          <w:sz w:val="22"/>
          <w:szCs w:val="22"/>
        </w:rPr>
        <w:fldChar w:fldCharType="end"/>
      </w:r>
      <w:r w:rsidR="006D2E4B" w:rsidRPr="000412A1">
        <w:rPr>
          <w:sz w:val="22"/>
          <w:szCs w:val="22"/>
        </w:rPr>
        <w:t>.</w:t>
      </w:r>
      <w:r w:rsidR="009D59EC" w:rsidRPr="000412A1">
        <w:rPr>
          <w:sz w:val="22"/>
          <w:szCs w:val="22"/>
        </w:rPr>
        <w:t xml:space="preserve"> </w:t>
      </w:r>
      <w:r w:rsidR="00CB4EEF" w:rsidRPr="000412A1">
        <w:rPr>
          <w:sz w:val="22"/>
          <w:szCs w:val="22"/>
        </w:rPr>
        <w:t>Post-</w:t>
      </w:r>
      <w:r w:rsidR="00FD7C26">
        <w:rPr>
          <w:sz w:val="22"/>
          <w:szCs w:val="22"/>
        </w:rPr>
        <w:t>T</w:t>
      </w:r>
      <w:r w:rsidR="00CB4EEF" w:rsidRPr="000412A1">
        <w:rPr>
          <w:sz w:val="22"/>
          <w:szCs w:val="22"/>
        </w:rPr>
        <w:t xml:space="preserve">reatment </w:t>
      </w:r>
      <w:r w:rsidR="006D2E4B" w:rsidRPr="000412A1">
        <w:rPr>
          <w:sz w:val="22"/>
          <w:szCs w:val="22"/>
        </w:rPr>
        <w:t xml:space="preserve">P5 showed faster loss of interstitial water compared </w:t>
      </w:r>
      <w:r w:rsidR="00C6233E" w:rsidRPr="000412A1">
        <w:rPr>
          <w:sz w:val="22"/>
          <w:szCs w:val="22"/>
        </w:rPr>
        <w:t xml:space="preserve">to </w:t>
      </w:r>
      <w:r w:rsidR="006D2E4B" w:rsidRPr="000412A1">
        <w:rPr>
          <w:sz w:val="22"/>
          <w:szCs w:val="22"/>
        </w:rPr>
        <w:t xml:space="preserve">the </w:t>
      </w:r>
      <w:r w:rsidR="00C6233E" w:rsidRPr="000412A1">
        <w:rPr>
          <w:sz w:val="22"/>
          <w:szCs w:val="22"/>
        </w:rPr>
        <w:t xml:space="preserve">other </w:t>
      </w:r>
      <w:r w:rsidR="001455FD" w:rsidRPr="000412A1">
        <w:rPr>
          <w:sz w:val="22"/>
          <w:szCs w:val="22"/>
        </w:rPr>
        <w:t>runs</w:t>
      </w:r>
      <w:r w:rsidR="00B80106" w:rsidRPr="000412A1">
        <w:rPr>
          <w:sz w:val="22"/>
          <w:szCs w:val="22"/>
        </w:rPr>
        <w:t xml:space="preserve">. This result </w:t>
      </w:r>
      <w:r w:rsidR="00FD7C26">
        <w:rPr>
          <w:sz w:val="22"/>
          <w:szCs w:val="22"/>
        </w:rPr>
        <w:t>was</w:t>
      </w:r>
      <w:r w:rsidR="00FD7C26" w:rsidRPr="000412A1">
        <w:rPr>
          <w:sz w:val="22"/>
          <w:szCs w:val="22"/>
        </w:rPr>
        <w:t xml:space="preserve"> </w:t>
      </w:r>
      <w:r w:rsidR="00B80106" w:rsidRPr="000412A1">
        <w:rPr>
          <w:sz w:val="22"/>
          <w:szCs w:val="22"/>
        </w:rPr>
        <w:t xml:space="preserve">to be expected since </w:t>
      </w:r>
      <w:r w:rsidR="00C6233E" w:rsidRPr="000412A1">
        <w:rPr>
          <w:sz w:val="22"/>
          <w:szCs w:val="22"/>
        </w:rPr>
        <w:t>P5</w:t>
      </w:r>
      <w:r w:rsidR="006D2E4B" w:rsidRPr="000412A1">
        <w:rPr>
          <w:sz w:val="22"/>
          <w:szCs w:val="22"/>
        </w:rPr>
        <w:t xml:space="preserve"> </w:t>
      </w:r>
      <w:r w:rsidR="00B80106" w:rsidRPr="000412A1">
        <w:rPr>
          <w:sz w:val="22"/>
          <w:szCs w:val="22"/>
        </w:rPr>
        <w:t xml:space="preserve">had </w:t>
      </w:r>
      <w:r w:rsidR="00C6233E" w:rsidRPr="000412A1">
        <w:rPr>
          <w:sz w:val="22"/>
          <w:szCs w:val="22"/>
        </w:rPr>
        <w:t xml:space="preserve">the </w:t>
      </w:r>
      <w:r w:rsidR="00606FEA" w:rsidRPr="000412A1">
        <w:rPr>
          <w:sz w:val="22"/>
          <w:szCs w:val="22"/>
        </w:rPr>
        <w:t>lengthiest</w:t>
      </w:r>
      <w:r w:rsidR="00B80106" w:rsidRPr="000412A1">
        <w:rPr>
          <w:sz w:val="22"/>
          <w:szCs w:val="22"/>
        </w:rPr>
        <w:t xml:space="preserve"> </w:t>
      </w:r>
      <w:r w:rsidR="009D59EC" w:rsidRPr="000412A1">
        <w:rPr>
          <w:sz w:val="22"/>
          <w:szCs w:val="22"/>
        </w:rPr>
        <w:t xml:space="preserve">treatment </w:t>
      </w:r>
      <w:r w:rsidR="006D2E4B" w:rsidRPr="000412A1">
        <w:rPr>
          <w:sz w:val="22"/>
          <w:szCs w:val="22"/>
        </w:rPr>
        <w:t>time</w:t>
      </w:r>
      <w:r w:rsidR="009306D5" w:rsidRPr="000412A1">
        <w:rPr>
          <w:sz w:val="22"/>
          <w:szCs w:val="22"/>
        </w:rPr>
        <w:t xml:space="preserve"> </w:t>
      </w:r>
      <w:r w:rsidR="00C6233E" w:rsidRPr="000412A1">
        <w:rPr>
          <w:sz w:val="22"/>
          <w:szCs w:val="22"/>
        </w:rPr>
        <w:t>(</w:t>
      </w:r>
      <w:r w:rsidR="00342318" w:rsidRPr="000412A1">
        <w:rPr>
          <w:sz w:val="22"/>
          <w:szCs w:val="22"/>
        </w:rPr>
        <w:t>60</w:t>
      </w:r>
      <w:r w:rsidR="00FD7C26">
        <w:rPr>
          <w:sz w:val="22"/>
          <w:szCs w:val="22"/>
        </w:rPr>
        <w:t xml:space="preserve"> </w:t>
      </w:r>
      <w:r w:rsidR="00342318" w:rsidRPr="000412A1">
        <w:rPr>
          <w:sz w:val="22"/>
          <w:szCs w:val="22"/>
        </w:rPr>
        <w:t>min</w:t>
      </w:r>
      <w:r w:rsidR="00C6233E" w:rsidRPr="000412A1">
        <w:rPr>
          <w:sz w:val="22"/>
          <w:szCs w:val="22"/>
        </w:rPr>
        <w:t>)</w:t>
      </w:r>
      <w:r w:rsidR="00BE1F67" w:rsidRPr="000412A1">
        <w:rPr>
          <w:sz w:val="22"/>
          <w:szCs w:val="22"/>
        </w:rPr>
        <w:t>,</w:t>
      </w:r>
      <w:r w:rsidR="009D59EC" w:rsidRPr="000412A1">
        <w:rPr>
          <w:sz w:val="22"/>
          <w:szCs w:val="22"/>
        </w:rPr>
        <w:t xml:space="preserve"> </w:t>
      </w:r>
      <w:r w:rsidR="00B80106" w:rsidRPr="000412A1">
        <w:rPr>
          <w:sz w:val="22"/>
          <w:szCs w:val="22"/>
        </w:rPr>
        <w:t xml:space="preserve">whereas </w:t>
      </w:r>
      <w:r w:rsidR="009D59EC" w:rsidRPr="000412A1">
        <w:rPr>
          <w:sz w:val="22"/>
          <w:szCs w:val="22"/>
        </w:rPr>
        <w:t xml:space="preserve">the </w:t>
      </w:r>
      <w:r w:rsidR="00B80106" w:rsidRPr="000412A1">
        <w:rPr>
          <w:sz w:val="22"/>
          <w:szCs w:val="22"/>
        </w:rPr>
        <w:t xml:space="preserve">other tests were </w:t>
      </w:r>
      <w:r w:rsidR="00C6233E" w:rsidRPr="000412A1">
        <w:rPr>
          <w:sz w:val="22"/>
          <w:szCs w:val="22"/>
        </w:rPr>
        <w:t xml:space="preserve">tested </w:t>
      </w:r>
      <w:r w:rsidR="00B80106" w:rsidRPr="000412A1">
        <w:rPr>
          <w:sz w:val="22"/>
          <w:szCs w:val="22"/>
        </w:rPr>
        <w:t xml:space="preserve">for </w:t>
      </w:r>
      <w:r w:rsidR="00EE4FC9" w:rsidRPr="000412A1">
        <w:rPr>
          <w:sz w:val="22"/>
          <w:szCs w:val="22"/>
        </w:rPr>
        <w:t xml:space="preserve">only </w:t>
      </w:r>
      <w:r w:rsidR="009D59EC" w:rsidRPr="000412A1">
        <w:rPr>
          <w:sz w:val="22"/>
          <w:szCs w:val="22"/>
        </w:rPr>
        <w:t>5 min</w:t>
      </w:r>
      <w:r w:rsidR="00EE4FC9" w:rsidRPr="000412A1">
        <w:rPr>
          <w:sz w:val="22"/>
          <w:szCs w:val="22"/>
        </w:rPr>
        <w:t>utes</w:t>
      </w:r>
      <w:r w:rsidR="006D2E4B" w:rsidRPr="000412A1">
        <w:rPr>
          <w:sz w:val="22"/>
          <w:szCs w:val="22"/>
        </w:rPr>
        <w:t>.</w:t>
      </w:r>
      <w:r w:rsidR="002209B4" w:rsidRPr="000412A1">
        <w:rPr>
          <w:sz w:val="22"/>
          <w:szCs w:val="22"/>
        </w:rPr>
        <w:t xml:space="preserve"> This </w:t>
      </w:r>
      <w:r w:rsidR="00606FEA" w:rsidRPr="000412A1">
        <w:rPr>
          <w:sz w:val="22"/>
          <w:szCs w:val="22"/>
        </w:rPr>
        <w:t xml:space="preserve">longer current and voltage </w:t>
      </w:r>
      <w:r w:rsidR="005A35F2" w:rsidRPr="000412A1">
        <w:rPr>
          <w:sz w:val="22"/>
          <w:szCs w:val="22"/>
        </w:rPr>
        <w:t xml:space="preserve">exposure </w:t>
      </w:r>
      <w:r w:rsidR="002209B4" w:rsidRPr="000412A1">
        <w:rPr>
          <w:sz w:val="22"/>
          <w:szCs w:val="22"/>
        </w:rPr>
        <w:t xml:space="preserve">also improved the release of </w:t>
      </w:r>
      <w:r w:rsidR="00676C11" w:rsidRPr="000412A1">
        <w:rPr>
          <w:sz w:val="22"/>
          <w:szCs w:val="22"/>
        </w:rPr>
        <w:t>interstitial</w:t>
      </w:r>
      <w:r w:rsidR="002209B4" w:rsidRPr="000412A1">
        <w:rPr>
          <w:sz w:val="22"/>
          <w:szCs w:val="22"/>
        </w:rPr>
        <w:t xml:space="preserve"> and bound</w:t>
      </w:r>
      <w:r w:rsidR="006D2E4B" w:rsidRPr="000412A1">
        <w:rPr>
          <w:sz w:val="22"/>
          <w:szCs w:val="22"/>
        </w:rPr>
        <w:t xml:space="preserve"> water</w:t>
      </w:r>
      <w:r w:rsidR="00FD7C26">
        <w:rPr>
          <w:sz w:val="22"/>
          <w:szCs w:val="22"/>
        </w:rPr>
        <w:t>,</w:t>
      </w:r>
      <w:r w:rsidR="002209B4" w:rsidRPr="000412A1">
        <w:rPr>
          <w:sz w:val="22"/>
          <w:szCs w:val="22"/>
        </w:rPr>
        <w:t xml:space="preserve"> requiring a</w:t>
      </w:r>
      <w:r w:rsidR="00606FEA" w:rsidRPr="000412A1">
        <w:rPr>
          <w:sz w:val="22"/>
          <w:szCs w:val="22"/>
        </w:rPr>
        <w:t xml:space="preserve"> </w:t>
      </w:r>
      <w:r w:rsidR="005A35F2" w:rsidRPr="000412A1">
        <w:rPr>
          <w:sz w:val="22"/>
          <w:szCs w:val="22"/>
        </w:rPr>
        <w:t xml:space="preserve">shorter </w:t>
      </w:r>
      <w:r w:rsidR="00606FEA" w:rsidRPr="000412A1">
        <w:rPr>
          <w:sz w:val="22"/>
          <w:szCs w:val="22"/>
        </w:rPr>
        <w:t>overall</w:t>
      </w:r>
      <w:r w:rsidR="002209B4" w:rsidRPr="000412A1">
        <w:rPr>
          <w:sz w:val="22"/>
          <w:szCs w:val="22"/>
        </w:rPr>
        <w:t xml:space="preserve"> </w:t>
      </w:r>
      <w:r w:rsidR="00606FEA" w:rsidRPr="000412A1">
        <w:rPr>
          <w:sz w:val="22"/>
          <w:szCs w:val="22"/>
        </w:rPr>
        <w:t xml:space="preserve">period </w:t>
      </w:r>
      <w:r w:rsidR="002209B4" w:rsidRPr="000412A1">
        <w:rPr>
          <w:sz w:val="22"/>
          <w:szCs w:val="22"/>
        </w:rPr>
        <w:t xml:space="preserve">for </w:t>
      </w:r>
      <w:r w:rsidR="00606FEA" w:rsidRPr="000412A1">
        <w:rPr>
          <w:sz w:val="22"/>
          <w:szCs w:val="22"/>
        </w:rPr>
        <w:t>eliminating</w:t>
      </w:r>
      <w:r w:rsidR="00606FEA" w:rsidRPr="000412A1" w:rsidDel="00606FEA">
        <w:rPr>
          <w:sz w:val="22"/>
          <w:szCs w:val="22"/>
        </w:rPr>
        <w:t xml:space="preserve"> </w:t>
      </w:r>
      <w:r w:rsidR="002209B4" w:rsidRPr="000412A1">
        <w:rPr>
          <w:sz w:val="22"/>
          <w:szCs w:val="22"/>
        </w:rPr>
        <w:t xml:space="preserve">water. </w:t>
      </w:r>
      <w:r w:rsidR="00B80106" w:rsidRPr="000412A1">
        <w:rPr>
          <w:sz w:val="22"/>
          <w:szCs w:val="22"/>
        </w:rPr>
        <w:t xml:space="preserve">However, </w:t>
      </w:r>
      <w:r w:rsidR="005A35F2" w:rsidRPr="000412A1">
        <w:rPr>
          <w:sz w:val="22"/>
          <w:szCs w:val="22"/>
        </w:rPr>
        <w:t xml:space="preserve">in a real-world scenario, </w:t>
      </w:r>
      <w:r w:rsidR="00B80106" w:rsidRPr="000412A1">
        <w:rPr>
          <w:sz w:val="22"/>
          <w:szCs w:val="22"/>
        </w:rPr>
        <w:t xml:space="preserve">the excessive energy demand </w:t>
      </w:r>
      <w:r w:rsidR="005A35F2" w:rsidRPr="000412A1">
        <w:rPr>
          <w:sz w:val="22"/>
          <w:szCs w:val="22"/>
        </w:rPr>
        <w:t>from</w:t>
      </w:r>
      <w:r w:rsidR="00B80106" w:rsidRPr="000412A1">
        <w:rPr>
          <w:sz w:val="22"/>
          <w:szCs w:val="22"/>
        </w:rPr>
        <w:t xml:space="preserve"> this post-treatment prevents </w:t>
      </w:r>
      <w:r w:rsidR="005A35F2" w:rsidRPr="000412A1">
        <w:rPr>
          <w:sz w:val="22"/>
          <w:szCs w:val="22"/>
        </w:rPr>
        <w:t xml:space="preserve">it </w:t>
      </w:r>
      <w:r w:rsidR="00B80106" w:rsidRPr="000412A1">
        <w:rPr>
          <w:sz w:val="22"/>
          <w:szCs w:val="22"/>
        </w:rPr>
        <w:t xml:space="preserve">from </w:t>
      </w:r>
      <w:r w:rsidR="005A35F2" w:rsidRPr="000412A1">
        <w:rPr>
          <w:sz w:val="22"/>
          <w:szCs w:val="22"/>
        </w:rPr>
        <w:t xml:space="preserve">being an economically feasible </w:t>
      </w:r>
      <w:r w:rsidR="00B80106" w:rsidRPr="000412A1">
        <w:rPr>
          <w:sz w:val="22"/>
          <w:szCs w:val="22"/>
        </w:rPr>
        <w:t xml:space="preserve">option. </w:t>
      </w:r>
      <w:r w:rsidR="005A35F2" w:rsidRPr="000412A1">
        <w:rPr>
          <w:sz w:val="22"/>
          <w:szCs w:val="22"/>
        </w:rPr>
        <w:t>For that reason</w:t>
      </w:r>
      <w:r w:rsidR="00F92B06" w:rsidRPr="000412A1">
        <w:rPr>
          <w:sz w:val="22"/>
          <w:szCs w:val="22"/>
        </w:rPr>
        <w:t>,</w:t>
      </w:r>
      <w:r w:rsidR="005A35F2" w:rsidRPr="000412A1">
        <w:rPr>
          <w:sz w:val="22"/>
          <w:szCs w:val="22"/>
        </w:rPr>
        <w:t xml:space="preserve"> the</w:t>
      </w:r>
      <w:r w:rsidR="002209B4" w:rsidRPr="000412A1">
        <w:rPr>
          <w:sz w:val="22"/>
          <w:szCs w:val="22"/>
        </w:rPr>
        <w:t xml:space="preserve"> P4</w:t>
      </w:r>
      <w:r w:rsidR="005A35F2" w:rsidRPr="000412A1">
        <w:rPr>
          <w:sz w:val="22"/>
          <w:szCs w:val="22"/>
        </w:rPr>
        <w:t xml:space="preserve"> method is </w:t>
      </w:r>
      <w:r w:rsidR="00FD7C26">
        <w:rPr>
          <w:sz w:val="22"/>
          <w:szCs w:val="22"/>
        </w:rPr>
        <w:t>a</w:t>
      </w:r>
      <w:r w:rsidR="00FD7C26" w:rsidRPr="000412A1">
        <w:rPr>
          <w:sz w:val="22"/>
          <w:szCs w:val="22"/>
        </w:rPr>
        <w:t xml:space="preserve"> </w:t>
      </w:r>
      <w:r w:rsidR="005A35F2" w:rsidRPr="000412A1">
        <w:rPr>
          <w:sz w:val="22"/>
          <w:szCs w:val="22"/>
        </w:rPr>
        <w:t>realistic candidate</w:t>
      </w:r>
      <w:r w:rsidR="00FD7C26">
        <w:rPr>
          <w:sz w:val="22"/>
          <w:szCs w:val="22"/>
        </w:rPr>
        <w:t>,</w:t>
      </w:r>
      <w:r w:rsidR="005A35F2" w:rsidRPr="000412A1">
        <w:rPr>
          <w:sz w:val="22"/>
          <w:szCs w:val="22"/>
        </w:rPr>
        <w:t xml:space="preserve"> whereby </w:t>
      </w:r>
      <w:r w:rsidR="00775303" w:rsidRPr="000412A1">
        <w:rPr>
          <w:sz w:val="22"/>
          <w:szCs w:val="22"/>
        </w:rPr>
        <w:t>a treatment</w:t>
      </w:r>
      <w:r w:rsidR="006D2E4B" w:rsidRPr="000412A1">
        <w:rPr>
          <w:sz w:val="22"/>
          <w:szCs w:val="22"/>
        </w:rPr>
        <w:t xml:space="preserve"> </w:t>
      </w:r>
      <w:r w:rsidR="00B80106" w:rsidRPr="000412A1">
        <w:rPr>
          <w:sz w:val="22"/>
          <w:szCs w:val="22"/>
        </w:rPr>
        <w:t xml:space="preserve">time </w:t>
      </w:r>
      <w:r w:rsidR="00775303" w:rsidRPr="000412A1">
        <w:rPr>
          <w:sz w:val="22"/>
          <w:szCs w:val="22"/>
        </w:rPr>
        <w:t>of 5 min</w:t>
      </w:r>
      <w:r w:rsidR="009968AA" w:rsidRPr="000412A1">
        <w:rPr>
          <w:sz w:val="22"/>
          <w:szCs w:val="22"/>
        </w:rPr>
        <w:t>utes</w:t>
      </w:r>
      <w:r w:rsidR="00775303" w:rsidRPr="000412A1">
        <w:rPr>
          <w:sz w:val="22"/>
          <w:szCs w:val="22"/>
        </w:rPr>
        <w:t xml:space="preserve"> </w:t>
      </w:r>
      <w:r w:rsidR="005A35F2" w:rsidRPr="000412A1">
        <w:rPr>
          <w:sz w:val="22"/>
          <w:szCs w:val="22"/>
        </w:rPr>
        <w:t>showed the second-best</w:t>
      </w:r>
      <w:r w:rsidR="00B80106" w:rsidRPr="000412A1">
        <w:rPr>
          <w:sz w:val="22"/>
          <w:szCs w:val="22"/>
        </w:rPr>
        <w:t xml:space="preserve"> </w:t>
      </w:r>
      <w:r w:rsidR="00775303" w:rsidRPr="000412A1">
        <w:rPr>
          <w:sz w:val="22"/>
          <w:szCs w:val="22"/>
        </w:rPr>
        <w:t xml:space="preserve">result </w:t>
      </w:r>
      <w:r w:rsidR="005A35F2" w:rsidRPr="000412A1">
        <w:rPr>
          <w:sz w:val="22"/>
          <w:szCs w:val="22"/>
        </w:rPr>
        <w:t>in</w:t>
      </w:r>
      <w:r w:rsidR="00775303" w:rsidRPr="000412A1">
        <w:rPr>
          <w:sz w:val="22"/>
          <w:szCs w:val="22"/>
        </w:rPr>
        <w:t xml:space="preserve"> </w:t>
      </w:r>
      <w:r w:rsidR="005A35F2" w:rsidRPr="000412A1">
        <w:rPr>
          <w:sz w:val="22"/>
          <w:szCs w:val="22"/>
        </w:rPr>
        <w:t>water</w:t>
      </w:r>
      <w:r w:rsidR="00714990">
        <w:rPr>
          <w:sz w:val="22"/>
          <w:szCs w:val="22"/>
        </w:rPr>
        <w:t xml:space="preserve"> </w:t>
      </w:r>
      <w:r w:rsidR="005A35F2" w:rsidRPr="000412A1">
        <w:rPr>
          <w:sz w:val="22"/>
          <w:szCs w:val="22"/>
        </w:rPr>
        <w:t xml:space="preserve">release </w:t>
      </w:r>
      <w:r w:rsidR="00775303" w:rsidRPr="000412A1">
        <w:rPr>
          <w:sz w:val="22"/>
          <w:szCs w:val="22"/>
        </w:rPr>
        <w:t xml:space="preserve">rate and </w:t>
      </w:r>
      <w:r w:rsidR="005A35F2" w:rsidRPr="000412A1">
        <w:rPr>
          <w:sz w:val="22"/>
          <w:szCs w:val="22"/>
        </w:rPr>
        <w:t>required</w:t>
      </w:r>
      <w:r w:rsidR="005A35F2" w:rsidRPr="000412A1" w:rsidDel="005A35F2">
        <w:rPr>
          <w:sz w:val="22"/>
          <w:szCs w:val="22"/>
        </w:rPr>
        <w:t xml:space="preserve"> </w:t>
      </w:r>
      <w:r w:rsidR="00775303" w:rsidRPr="000412A1">
        <w:rPr>
          <w:sz w:val="22"/>
          <w:szCs w:val="22"/>
        </w:rPr>
        <w:t xml:space="preserve">time for </w:t>
      </w:r>
      <w:r w:rsidR="00FD7C26" w:rsidRPr="000412A1">
        <w:rPr>
          <w:sz w:val="22"/>
          <w:szCs w:val="22"/>
        </w:rPr>
        <w:t xml:space="preserve">sample </w:t>
      </w:r>
      <w:r w:rsidR="00775303" w:rsidRPr="000412A1">
        <w:rPr>
          <w:sz w:val="22"/>
          <w:szCs w:val="22"/>
        </w:rPr>
        <w:t>drying</w:t>
      </w:r>
      <w:r w:rsidR="007A59B1" w:rsidRPr="000412A1">
        <w:rPr>
          <w:sz w:val="22"/>
          <w:szCs w:val="22"/>
        </w:rPr>
        <w:t>.</w:t>
      </w:r>
      <w:r w:rsidR="00775303" w:rsidRPr="000412A1">
        <w:rPr>
          <w:sz w:val="22"/>
          <w:szCs w:val="22"/>
        </w:rPr>
        <w:t xml:space="preserve"> </w:t>
      </w:r>
    </w:p>
    <w:p w14:paraId="3F22D5AE" w14:textId="77777777" w:rsidR="00203457" w:rsidRPr="000412A1" w:rsidRDefault="00203457" w:rsidP="00695D9F">
      <w:pPr>
        <w:spacing w:after="160" w:line="480" w:lineRule="auto"/>
        <w:rPr>
          <w:sz w:val="22"/>
          <w:szCs w:val="22"/>
        </w:rPr>
      </w:pPr>
    </w:p>
    <w:p w14:paraId="26EA038F" w14:textId="7D3E4E6F" w:rsidR="00CB231F" w:rsidRPr="000412A1" w:rsidRDefault="00CB231F" w:rsidP="00CB231F">
      <w:pPr>
        <w:spacing w:after="160" w:line="480" w:lineRule="auto"/>
        <w:rPr>
          <w:sz w:val="22"/>
          <w:szCs w:val="22"/>
        </w:rPr>
      </w:pPr>
      <w:r w:rsidRPr="000412A1">
        <w:rPr>
          <w:sz w:val="22"/>
          <w:szCs w:val="22"/>
        </w:rPr>
        <w:t xml:space="preserve">Table 3 </w:t>
      </w:r>
      <w:r w:rsidR="00DE4ECC" w:rsidRPr="000412A1">
        <w:rPr>
          <w:sz w:val="22"/>
          <w:szCs w:val="22"/>
        </w:rPr>
        <w:t xml:space="preserve">discloses </w:t>
      </w:r>
      <w:r w:rsidR="00695D9F" w:rsidRPr="000412A1">
        <w:rPr>
          <w:sz w:val="22"/>
          <w:szCs w:val="22"/>
        </w:rPr>
        <w:t xml:space="preserve">the </w:t>
      </w:r>
      <w:r w:rsidR="00FD7C26" w:rsidRPr="000412A1">
        <w:rPr>
          <w:sz w:val="22"/>
          <w:szCs w:val="22"/>
        </w:rPr>
        <w:t xml:space="preserve">associated </w:t>
      </w:r>
      <w:r w:rsidR="00695D9F" w:rsidRPr="000412A1">
        <w:rPr>
          <w:sz w:val="22"/>
          <w:szCs w:val="22"/>
        </w:rPr>
        <w:t>values with the release of water fr</w:t>
      </w:r>
      <w:r w:rsidR="00DE4ECC" w:rsidRPr="000412A1">
        <w:rPr>
          <w:sz w:val="22"/>
          <w:szCs w:val="22"/>
        </w:rPr>
        <w:t>om</w:t>
      </w:r>
      <w:r w:rsidR="00695D9F" w:rsidRPr="000412A1">
        <w:rPr>
          <w:sz w:val="22"/>
          <w:szCs w:val="22"/>
        </w:rPr>
        <w:t xml:space="preserve"> the different samples </w:t>
      </w:r>
      <w:r w:rsidR="00FD7C26">
        <w:rPr>
          <w:sz w:val="22"/>
          <w:szCs w:val="22"/>
        </w:rPr>
        <w:t>and the</w:t>
      </w:r>
      <w:r w:rsidR="00695D9F" w:rsidRPr="000412A1">
        <w:rPr>
          <w:sz w:val="22"/>
          <w:szCs w:val="22"/>
        </w:rPr>
        <w:t xml:space="preserve"> parameters associated with the fit of water</w:t>
      </w:r>
      <w:r w:rsidR="00714990">
        <w:rPr>
          <w:sz w:val="22"/>
          <w:szCs w:val="22"/>
        </w:rPr>
        <w:t xml:space="preserve"> </w:t>
      </w:r>
      <w:r w:rsidR="00695D9F" w:rsidRPr="000412A1">
        <w:rPr>
          <w:sz w:val="22"/>
          <w:szCs w:val="22"/>
        </w:rPr>
        <w:t>release curves to a</w:t>
      </w:r>
      <w:r w:rsidR="00103854" w:rsidRPr="000412A1">
        <w:rPr>
          <w:sz w:val="22"/>
          <w:szCs w:val="22"/>
        </w:rPr>
        <w:t>n</w:t>
      </w:r>
      <w:r w:rsidR="00695D9F" w:rsidRPr="000412A1">
        <w:rPr>
          <w:sz w:val="22"/>
          <w:szCs w:val="22"/>
        </w:rPr>
        <w:t xml:space="preserve"> S-shape logistic function. In this case</w:t>
      </w:r>
      <w:r w:rsidR="00103854" w:rsidRPr="000412A1">
        <w:rPr>
          <w:sz w:val="22"/>
          <w:szCs w:val="22"/>
        </w:rPr>
        <w:t>,</w:t>
      </w:r>
      <w:r w:rsidR="00695D9F" w:rsidRPr="000412A1">
        <w:rPr>
          <w:sz w:val="22"/>
          <w:szCs w:val="22"/>
        </w:rPr>
        <w:t xml:space="preserve"> the release of water </w:t>
      </w:r>
      <w:r w:rsidR="00FD7C26">
        <w:rPr>
          <w:sz w:val="22"/>
          <w:szCs w:val="22"/>
        </w:rPr>
        <w:t>is</w:t>
      </w:r>
      <w:r w:rsidR="00FD7C26" w:rsidRPr="000412A1">
        <w:rPr>
          <w:sz w:val="22"/>
          <w:szCs w:val="22"/>
        </w:rPr>
        <w:t xml:space="preserve"> </w:t>
      </w:r>
      <w:r w:rsidR="00695D9F" w:rsidRPr="000412A1">
        <w:rPr>
          <w:sz w:val="22"/>
          <w:szCs w:val="22"/>
        </w:rPr>
        <w:t xml:space="preserve">expressed as </w:t>
      </w:r>
      <w:r w:rsidR="00103854" w:rsidRPr="000412A1">
        <w:rPr>
          <w:sz w:val="22"/>
          <w:szCs w:val="22"/>
        </w:rPr>
        <w:t xml:space="preserve">a </w:t>
      </w:r>
      <w:r w:rsidR="00695D9F" w:rsidRPr="000412A1">
        <w:rPr>
          <w:sz w:val="22"/>
          <w:szCs w:val="22"/>
        </w:rPr>
        <w:t xml:space="preserve">percentage and represented </w:t>
      </w:r>
      <w:r w:rsidR="00695D9F" w:rsidRPr="009A0A82">
        <w:rPr>
          <w:iCs/>
          <w:sz w:val="22"/>
          <w:szCs w:val="22"/>
        </w:rPr>
        <w:t>versus</w:t>
      </w:r>
      <w:r w:rsidR="00695D9F" w:rsidRPr="000412A1">
        <w:rPr>
          <w:sz w:val="22"/>
          <w:szCs w:val="22"/>
        </w:rPr>
        <w:t xml:space="preserve"> drying time. As observed in</w:t>
      </w:r>
      <w:r w:rsidRPr="000412A1">
        <w:rPr>
          <w:sz w:val="22"/>
          <w:szCs w:val="22"/>
        </w:rPr>
        <w:t xml:space="preserve"> </w:t>
      </w:r>
      <w:r w:rsidR="008D2DC9" w:rsidRPr="000412A1">
        <w:rPr>
          <w:sz w:val="22"/>
          <w:szCs w:val="22"/>
        </w:rPr>
        <w:t>Figure S1</w:t>
      </w:r>
      <w:r w:rsidR="003B61F4" w:rsidRPr="000412A1">
        <w:rPr>
          <w:sz w:val="22"/>
          <w:szCs w:val="22"/>
        </w:rPr>
        <w:t>a</w:t>
      </w:r>
      <w:r w:rsidR="00695D9F" w:rsidRPr="000412A1">
        <w:rPr>
          <w:sz w:val="22"/>
          <w:szCs w:val="22"/>
        </w:rPr>
        <w:t xml:space="preserve">, the release of free water </w:t>
      </w:r>
      <w:r w:rsidR="00FD7C26">
        <w:rPr>
          <w:sz w:val="22"/>
          <w:szCs w:val="22"/>
        </w:rPr>
        <w:t>was</w:t>
      </w:r>
      <w:r w:rsidR="00FD7C26" w:rsidRPr="000412A1">
        <w:rPr>
          <w:sz w:val="22"/>
          <w:szCs w:val="22"/>
        </w:rPr>
        <w:t xml:space="preserve"> </w:t>
      </w:r>
      <w:r w:rsidR="002C270E" w:rsidRPr="000412A1">
        <w:rPr>
          <w:sz w:val="22"/>
          <w:szCs w:val="22"/>
        </w:rPr>
        <w:t>facilitated</w:t>
      </w:r>
      <w:r w:rsidR="00695D9F" w:rsidRPr="000412A1">
        <w:rPr>
          <w:sz w:val="22"/>
          <w:szCs w:val="22"/>
        </w:rPr>
        <w:t xml:space="preserve"> by the </w:t>
      </w:r>
      <w:r w:rsidR="008F25D9" w:rsidRPr="000412A1">
        <w:rPr>
          <w:sz w:val="22"/>
          <w:szCs w:val="22"/>
        </w:rPr>
        <w:t>post</w:t>
      </w:r>
      <w:r w:rsidR="00695D9F" w:rsidRPr="000412A1">
        <w:rPr>
          <w:sz w:val="22"/>
          <w:szCs w:val="22"/>
        </w:rPr>
        <w:t xml:space="preserve">-treatment </w:t>
      </w:r>
      <w:r w:rsidR="001D68DC" w:rsidRPr="000412A1">
        <w:rPr>
          <w:sz w:val="22"/>
          <w:szCs w:val="22"/>
        </w:rPr>
        <w:t>method</w:t>
      </w:r>
      <w:r w:rsidR="00FD7C26">
        <w:rPr>
          <w:sz w:val="22"/>
          <w:szCs w:val="22"/>
        </w:rPr>
        <w:t>,</w:t>
      </w:r>
      <w:r w:rsidR="006829CA" w:rsidRPr="000412A1">
        <w:rPr>
          <w:sz w:val="22"/>
          <w:szCs w:val="22"/>
        </w:rPr>
        <w:t xml:space="preserve"> </w:t>
      </w:r>
      <w:r w:rsidR="00695D9F" w:rsidRPr="000412A1">
        <w:rPr>
          <w:sz w:val="22"/>
          <w:szCs w:val="22"/>
        </w:rPr>
        <w:t>which ha</w:t>
      </w:r>
      <w:r w:rsidR="008F25D9" w:rsidRPr="000412A1">
        <w:rPr>
          <w:sz w:val="22"/>
          <w:szCs w:val="22"/>
        </w:rPr>
        <w:t>d</w:t>
      </w:r>
      <w:r w:rsidR="00695D9F" w:rsidRPr="000412A1">
        <w:rPr>
          <w:sz w:val="22"/>
          <w:szCs w:val="22"/>
        </w:rPr>
        <w:t xml:space="preserve"> a significant effect </w:t>
      </w:r>
      <w:r w:rsidR="00103854" w:rsidRPr="000412A1">
        <w:rPr>
          <w:sz w:val="22"/>
          <w:szCs w:val="22"/>
        </w:rPr>
        <w:t xml:space="preserve">on </w:t>
      </w:r>
      <w:r w:rsidR="00695D9F" w:rsidRPr="000412A1">
        <w:rPr>
          <w:sz w:val="22"/>
          <w:szCs w:val="22"/>
        </w:rPr>
        <w:t>the</w:t>
      </w:r>
      <w:r w:rsidR="00FD7C26" w:rsidRPr="00FD7C26">
        <w:rPr>
          <w:sz w:val="22"/>
          <w:szCs w:val="22"/>
        </w:rPr>
        <w:t xml:space="preserve"> </w:t>
      </w:r>
      <w:r w:rsidR="00FD7C26" w:rsidRPr="000412A1">
        <w:rPr>
          <w:sz w:val="22"/>
          <w:szCs w:val="22"/>
        </w:rPr>
        <w:t>necessary</w:t>
      </w:r>
      <w:r w:rsidR="00695D9F" w:rsidRPr="000412A1">
        <w:rPr>
          <w:sz w:val="22"/>
          <w:szCs w:val="22"/>
        </w:rPr>
        <w:t xml:space="preserve"> energy for reducing </w:t>
      </w:r>
      <w:r w:rsidR="00FD7C26" w:rsidRPr="000412A1">
        <w:rPr>
          <w:sz w:val="22"/>
          <w:szCs w:val="22"/>
        </w:rPr>
        <w:t>sludge</w:t>
      </w:r>
      <w:r w:rsidR="00FD7C26" w:rsidRPr="000412A1" w:rsidDel="00FD7C26">
        <w:rPr>
          <w:sz w:val="22"/>
          <w:szCs w:val="22"/>
        </w:rPr>
        <w:t xml:space="preserve"> </w:t>
      </w:r>
      <w:r w:rsidR="00695D9F" w:rsidRPr="000412A1">
        <w:rPr>
          <w:sz w:val="22"/>
          <w:szCs w:val="22"/>
        </w:rPr>
        <w:t xml:space="preserve">humidity. </w:t>
      </w:r>
      <w:r w:rsidR="00FB2815" w:rsidRPr="000412A1">
        <w:rPr>
          <w:sz w:val="22"/>
          <w:szCs w:val="22"/>
        </w:rPr>
        <w:t>The d</w:t>
      </w:r>
      <w:r w:rsidR="00695D9F" w:rsidRPr="000412A1">
        <w:rPr>
          <w:sz w:val="22"/>
          <w:szCs w:val="22"/>
        </w:rPr>
        <w:t xml:space="preserve">igestate </w:t>
      </w:r>
      <w:r w:rsidR="001D68DC" w:rsidRPr="000412A1">
        <w:rPr>
          <w:sz w:val="22"/>
          <w:szCs w:val="22"/>
        </w:rPr>
        <w:t>and</w:t>
      </w:r>
      <w:r w:rsidR="00FB2815" w:rsidRPr="000412A1">
        <w:rPr>
          <w:sz w:val="22"/>
          <w:szCs w:val="22"/>
        </w:rPr>
        <w:t xml:space="preserve"> </w:t>
      </w:r>
      <w:r w:rsidR="00695D9F" w:rsidRPr="000412A1">
        <w:rPr>
          <w:sz w:val="22"/>
          <w:szCs w:val="22"/>
        </w:rPr>
        <w:t xml:space="preserve">the P1 </w:t>
      </w:r>
      <w:r w:rsidR="001D68DC" w:rsidRPr="000412A1">
        <w:rPr>
          <w:sz w:val="22"/>
          <w:szCs w:val="22"/>
        </w:rPr>
        <w:t xml:space="preserve">treatment </w:t>
      </w:r>
      <w:r w:rsidR="00695D9F" w:rsidRPr="000412A1">
        <w:rPr>
          <w:sz w:val="22"/>
          <w:szCs w:val="22"/>
        </w:rPr>
        <w:t xml:space="preserve">needed the </w:t>
      </w:r>
      <w:r w:rsidR="00FB2815" w:rsidRPr="000412A1">
        <w:rPr>
          <w:sz w:val="22"/>
          <w:szCs w:val="22"/>
        </w:rPr>
        <w:t xml:space="preserve">longest </w:t>
      </w:r>
      <w:r w:rsidR="00695D9F" w:rsidRPr="000412A1">
        <w:rPr>
          <w:sz w:val="22"/>
          <w:szCs w:val="22"/>
        </w:rPr>
        <w:t xml:space="preserve">time </w:t>
      </w:r>
      <w:r w:rsidR="00FD7C26">
        <w:rPr>
          <w:sz w:val="22"/>
          <w:szCs w:val="22"/>
        </w:rPr>
        <w:t>to</w:t>
      </w:r>
      <w:r w:rsidR="00FD7C26" w:rsidRPr="000412A1">
        <w:rPr>
          <w:sz w:val="22"/>
          <w:szCs w:val="22"/>
        </w:rPr>
        <w:t xml:space="preserve"> </w:t>
      </w:r>
      <w:r w:rsidR="00695D9F" w:rsidRPr="000412A1">
        <w:rPr>
          <w:sz w:val="22"/>
          <w:szCs w:val="22"/>
        </w:rPr>
        <w:t>eliminat</w:t>
      </w:r>
      <w:r w:rsidR="00FD7C26">
        <w:rPr>
          <w:sz w:val="22"/>
          <w:szCs w:val="22"/>
        </w:rPr>
        <w:t>e</w:t>
      </w:r>
      <w:r w:rsidR="00695D9F" w:rsidRPr="000412A1">
        <w:rPr>
          <w:sz w:val="22"/>
          <w:szCs w:val="22"/>
        </w:rPr>
        <w:t xml:space="preserve"> free water contained in their matrix. These two samples </w:t>
      </w:r>
      <w:r w:rsidR="007046F9" w:rsidRPr="000412A1">
        <w:rPr>
          <w:sz w:val="22"/>
          <w:szCs w:val="22"/>
        </w:rPr>
        <w:t xml:space="preserve">displayed </w:t>
      </w:r>
      <w:r w:rsidR="00695D9F" w:rsidRPr="000412A1">
        <w:rPr>
          <w:sz w:val="22"/>
          <w:szCs w:val="22"/>
        </w:rPr>
        <w:t xml:space="preserve">the highest value for the time required to remove 20% of </w:t>
      </w:r>
      <w:r w:rsidR="00103854" w:rsidRPr="000412A1">
        <w:rPr>
          <w:sz w:val="22"/>
          <w:szCs w:val="22"/>
        </w:rPr>
        <w:t xml:space="preserve">the </w:t>
      </w:r>
      <w:r w:rsidR="00695D9F" w:rsidRPr="000412A1">
        <w:rPr>
          <w:sz w:val="22"/>
          <w:szCs w:val="22"/>
        </w:rPr>
        <w:t>mass (water) and for parameter t</w:t>
      </w:r>
      <w:r w:rsidR="00695D9F" w:rsidRPr="000412A1">
        <w:rPr>
          <w:sz w:val="22"/>
          <w:szCs w:val="22"/>
          <w:vertAlign w:val="subscript"/>
        </w:rPr>
        <w:t>0</w:t>
      </w:r>
      <w:r w:rsidR="00695D9F" w:rsidRPr="000412A1">
        <w:rPr>
          <w:sz w:val="22"/>
          <w:szCs w:val="22"/>
        </w:rPr>
        <w:t>, which indicate</w:t>
      </w:r>
      <w:r w:rsidR="00FD7C26">
        <w:rPr>
          <w:sz w:val="22"/>
          <w:szCs w:val="22"/>
        </w:rPr>
        <w:t>d</w:t>
      </w:r>
      <w:r w:rsidR="00695D9F" w:rsidRPr="000412A1">
        <w:rPr>
          <w:sz w:val="22"/>
          <w:szCs w:val="22"/>
        </w:rPr>
        <w:t xml:space="preserve"> the time </w:t>
      </w:r>
      <w:r w:rsidR="007046F9" w:rsidRPr="000412A1">
        <w:rPr>
          <w:sz w:val="22"/>
          <w:szCs w:val="22"/>
        </w:rPr>
        <w:t>where</w:t>
      </w:r>
      <w:r w:rsidR="00695D9F" w:rsidRPr="000412A1">
        <w:rPr>
          <w:sz w:val="22"/>
          <w:szCs w:val="22"/>
        </w:rPr>
        <w:t xml:space="preserve"> 50% of mass loss ha</w:t>
      </w:r>
      <w:r w:rsidR="00FD7C26">
        <w:rPr>
          <w:sz w:val="22"/>
          <w:szCs w:val="22"/>
        </w:rPr>
        <w:t>d</w:t>
      </w:r>
      <w:r w:rsidR="00695D9F" w:rsidRPr="000412A1">
        <w:rPr>
          <w:sz w:val="22"/>
          <w:szCs w:val="22"/>
        </w:rPr>
        <w:t xml:space="preserve"> </w:t>
      </w:r>
      <w:r w:rsidR="007046F9" w:rsidRPr="000412A1">
        <w:rPr>
          <w:sz w:val="22"/>
          <w:szCs w:val="22"/>
        </w:rPr>
        <w:t>occurred</w:t>
      </w:r>
      <w:r w:rsidR="00695D9F" w:rsidRPr="000412A1">
        <w:rPr>
          <w:sz w:val="22"/>
          <w:szCs w:val="22"/>
        </w:rPr>
        <w:t>. In general, all post-treatment</w:t>
      </w:r>
      <w:r w:rsidR="00FD7C26">
        <w:rPr>
          <w:sz w:val="22"/>
          <w:szCs w:val="22"/>
        </w:rPr>
        <w:t>s</w:t>
      </w:r>
      <w:r w:rsidR="00695D9F" w:rsidRPr="000412A1">
        <w:rPr>
          <w:sz w:val="22"/>
          <w:szCs w:val="22"/>
        </w:rPr>
        <w:t xml:space="preserve"> </w:t>
      </w:r>
      <w:r w:rsidR="007046F9" w:rsidRPr="000412A1">
        <w:rPr>
          <w:sz w:val="22"/>
          <w:szCs w:val="22"/>
        </w:rPr>
        <w:t>(</w:t>
      </w:r>
      <w:r w:rsidR="00695D9F" w:rsidRPr="000412A1">
        <w:rPr>
          <w:sz w:val="22"/>
          <w:szCs w:val="22"/>
        </w:rPr>
        <w:t>P1</w:t>
      </w:r>
      <w:r w:rsidR="0037723D" w:rsidRPr="000412A1">
        <w:rPr>
          <w:sz w:val="22"/>
          <w:szCs w:val="22"/>
        </w:rPr>
        <w:t>–</w:t>
      </w:r>
      <w:r w:rsidR="00695D9F" w:rsidRPr="000412A1">
        <w:rPr>
          <w:sz w:val="22"/>
          <w:szCs w:val="22"/>
        </w:rPr>
        <w:t>P4</w:t>
      </w:r>
      <w:r w:rsidR="007046F9" w:rsidRPr="000412A1">
        <w:rPr>
          <w:sz w:val="22"/>
          <w:szCs w:val="22"/>
        </w:rPr>
        <w:t>)</w:t>
      </w:r>
      <w:r w:rsidR="00695D9F" w:rsidRPr="000412A1">
        <w:rPr>
          <w:sz w:val="22"/>
          <w:szCs w:val="22"/>
        </w:rPr>
        <w:t xml:space="preserve"> reported similar values for the rate of water release (</w:t>
      </w:r>
      <w:r w:rsidR="00695D9F" w:rsidRPr="000412A1">
        <w:rPr>
          <w:i/>
          <w:sz w:val="22"/>
          <w:szCs w:val="22"/>
        </w:rPr>
        <w:t>k</w:t>
      </w:r>
      <w:r w:rsidR="00695D9F" w:rsidRPr="000412A1">
        <w:rPr>
          <w:sz w:val="22"/>
          <w:szCs w:val="22"/>
        </w:rPr>
        <w:t xml:space="preserve">). The digestate submitted to </w:t>
      </w:r>
      <w:r w:rsidR="00FD7C26">
        <w:rPr>
          <w:sz w:val="22"/>
          <w:szCs w:val="22"/>
        </w:rPr>
        <w:t>P</w:t>
      </w:r>
      <w:r w:rsidR="00FD7C26" w:rsidRPr="000412A1">
        <w:rPr>
          <w:sz w:val="22"/>
          <w:szCs w:val="22"/>
        </w:rPr>
        <w:t>ost</w:t>
      </w:r>
      <w:r w:rsidR="00695D9F" w:rsidRPr="000412A1">
        <w:rPr>
          <w:sz w:val="22"/>
          <w:szCs w:val="22"/>
        </w:rPr>
        <w:t>-</w:t>
      </w:r>
      <w:r w:rsidR="00FD7C26">
        <w:rPr>
          <w:sz w:val="22"/>
          <w:szCs w:val="22"/>
        </w:rPr>
        <w:t>T</w:t>
      </w:r>
      <w:r w:rsidR="00FD7C26" w:rsidRPr="000412A1">
        <w:rPr>
          <w:sz w:val="22"/>
          <w:szCs w:val="22"/>
        </w:rPr>
        <w:t xml:space="preserve">reatment </w:t>
      </w:r>
      <w:r w:rsidR="00695D9F" w:rsidRPr="000412A1">
        <w:rPr>
          <w:sz w:val="22"/>
          <w:szCs w:val="22"/>
        </w:rPr>
        <w:t xml:space="preserve">P4 presented a </w:t>
      </w:r>
      <w:r w:rsidR="002C270E" w:rsidRPr="000412A1">
        <w:rPr>
          <w:sz w:val="22"/>
          <w:szCs w:val="22"/>
        </w:rPr>
        <w:t>significant</w:t>
      </w:r>
      <w:r w:rsidR="00A20206" w:rsidRPr="000412A1">
        <w:rPr>
          <w:sz w:val="22"/>
          <w:szCs w:val="22"/>
        </w:rPr>
        <w:t>ly</w:t>
      </w:r>
      <w:r w:rsidR="002C270E" w:rsidRPr="000412A1">
        <w:rPr>
          <w:sz w:val="22"/>
          <w:szCs w:val="22"/>
        </w:rPr>
        <w:t xml:space="preserve"> lower </w:t>
      </w:r>
      <w:r w:rsidR="002C270E" w:rsidRPr="000412A1">
        <w:rPr>
          <w:sz w:val="22"/>
          <w:szCs w:val="22"/>
        </w:rPr>
        <w:lastRenderedPageBreak/>
        <w:t>value of Time</w:t>
      </w:r>
      <w:r w:rsidR="00695D9F" w:rsidRPr="000412A1">
        <w:rPr>
          <w:sz w:val="22"/>
          <w:szCs w:val="22"/>
        </w:rPr>
        <w:t xml:space="preserve">] </w:t>
      </w:r>
      <w:r w:rsidR="00695D9F" w:rsidRPr="000412A1">
        <w:rPr>
          <w:sz w:val="22"/>
          <w:szCs w:val="22"/>
          <w:vertAlign w:val="subscript"/>
        </w:rPr>
        <w:t>mass loss_20%</w:t>
      </w:r>
      <w:r w:rsidR="00695D9F" w:rsidRPr="000412A1">
        <w:rPr>
          <w:sz w:val="22"/>
          <w:szCs w:val="22"/>
        </w:rPr>
        <w:t xml:space="preserve"> and t</w:t>
      </w:r>
      <w:r w:rsidR="00695D9F" w:rsidRPr="000412A1">
        <w:rPr>
          <w:sz w:val="22"/>
          <w:szCs w:val="22"/>
          <w:vertAlign w:val="subscript"/>
        </w:rPr>
        <w:t>0</w:t>
      </w:r>
      <w:r w:rsidR="007046F9" w:rsidRPr="000412A1">
        <w:rPr>
          <w:sz w:val="22"/>
          <w:szCs w:val="22"/>
        </w:rPr>
        <w:t>.</w:t>
      </w:r>
      <w:r w:rsidR="00695D9F" w:rsidRPr="000412A1">
        <w:rPr>
          <w:sz w:val="22"/>
          <w:szCs w:val="22"/>
        </w:rPr>
        <w:t xml:space="preserve"> </w:t>
      </w:r>
      <w:r w:rsidR="007046F9" w:rsidRPr="000412A1">
        <w:rPr>
          <w:sz w:val="22"/>
          <w:szCs w:val="22"/>
        </w:rPr>
        <w:t>C</w:t>
      </w:r>
      <w:r w:rsidR="00695D9F" w:rsidRPr="000412A1">
        <w:rPr>
          <w:sz w:val="22"/>
          <w:szCs w:val="22"/>
        </w:rPr>
        <w:t>onsidering the short duration of this treatment</w:t>
      </w:r>
      <w:r w:rsidR="007046F9" w:rsidRPr="000412A1">
        <w:rPr>
          <w:sz w:val="22"/>
          <w:szCs w:val="22"/>
        </w:rPr>
        <w:t xml:space="preserve">, </w:t>
      </w:r>
      <w:r w:rsidR="00FD7C26">
        <w:rPr>
          <w:sz w:val="22"/>
          <w:szCs w:val="22"/>
        </w:rPr>
        <w:t>this</w:t>
      </w:r>
      <w:r w:rsidR="00FD7C26" w:rsidRPr="000412A1">
        <w:rPr>
          <w:sz w:val="22"/>
          <w:szCs w:val="22"/>
        </w:rPr>
        <w:t xml:space="preserve"> </w:t>
      </w:r>
      <w:r w:rsidR="007046F9" w:rsidRPr="000412A1">
        <w:rPr>
          <w:sz w:val="22"/>
          <w:szCs w:val="22"/>
        </w:rPr>
        <w:t xml:space="preserve">seems to </w:t>
      </w:r>
      <w:r w:rsidR="00FD7C26">
        <w:rPr>
          <w:sz w:val="22"/>
          <w:szCs w:val="22"/>
        </w:rPr>
        <w:t xml:space="preserve">have </w:t>
      </w:r>
      <w:r w:rsidR="007046F9" w:rsidRPr="000412A1">
        <w:rPr>
          <w:sz w:val="22"/>
          <w:szCs w:val="22"/>
        </w:rPr>
        <w:t>be</w:t>
      </w:r>
      <w:r w:rsidR="00FD7C26">
        <w:rPr>
          <w:sz w:val="22"/>
          <w:szCs w:val="22"/>
        </w:rPr>
        <w:t>en</w:t>
      </w:r>
      <w:r w:rsidR="007046F9" w:rsidRPr="000412A1">
        <w:rPr>
          <w:sz w:val="22"/>
          <w:szCs w:val="22"/>
        </w:rPr>
        <w:t xml:space="preserve"> </w:t>
      </w:r>
      <w:r w:rsidR="00445737" w:rsidRPr="000412A1">
        <w:rPr>
          <w:sz w:val="22"/>
          <w:szCs w:val="22"/>
        </w:rPr>
        <w:t xml:space="preserve">related to </w:t>
      </w:r>
      <w:r w:rsidR="002F1467" w:rsidRPr="000412A1">
        <w:rPr>
          <w:sz w:val="22"/>
          <w:szCs w:val="22"/>
        </w:rPr>
        <w:t>modification o</w:t>
      </w:r>
      <w:r w:rsidR="00FD7C26">
        <w:rPr>
          <w:sz w:val="22"/>
          <w:szCs w:val="22"/>
        </w:rPr>
        <w:t>f</w:t>
      </w:r>
      <w:r w:rsidR="002F1467" w:rsidRPr="000412A1">
        <w:rPr>
          <w:sz w:val="22"/>
          <w:szCs w:val="22"/>
        </w:rPr>
        <w:t xml:space="preserve"> the structure of the sludge matrix</w:t>
      </w:r>
      <w:r w:rsidR="00695D9F" w:rsidRPr="000412A1">
        <w:rPr>
          <w:sz w:val="22"/>
          <w:szCs w:val="22"/>
        </w:rPr>
        <w:t>.</w:t>
      </w:r>
      <w:r w:rsidR="00FD7C26">
        <w:rPr>
          <w:sz w:val="22"/>
          <w:szCs w:val="22"/>
        </w:rPr>
        <w:t xml:space="preserve"> The</w:t>
      </w:r>
      <w:r w:rsidR="00695D9F" w:rsidRPr="000412A1">
        <w:rPr>
          <w:sz w:val="22"/>
          <w:szCs w:val="22"/>
        </w:rPr>
        <w:t xml:space="preserve"> P5 post-treatment </w:t>
      </w:r>
      <w:r w:rsidR="00C9161C" w:rsidRPr="000412A1">
        <w:rPr>
          <w:sz w:val="22"/>
          <w:szCs w:val="22"/>
        </w:rPr>
        <w:t xml:space="preserve">demonstrated </w:t>
      </w:r>
      <w:r w:rsidR="00695D9F" w:rsidRPr="000412A1">
        <w:rPr>
          <w:sz w:val="22"/>
          <w:szCs w:val="22"/>
        </w:rPr>
        <w:t>the lowest values for the same parameters</w:t>
      </w:r>
      <w:r w:rsidR="00FD7C26">
        <w:rPr>
          <w:sz w:val="22"/>
          <w:szCs w:val="22"/>
        </w:rPr>
        <w:t>,</w:t>
      </w:r>
      <w:r w:rsidR="00695D9F" w:rsidRPr="000412A1">
        <w:rPr>
          <w:sz w:val="22"/>
          <w:szCs w:val="22"/>
        </w:rPr>
        <w:t xml:space="preserve"> and the highe</w:t>
      </w:r>
      <w:r w:rsidR="00C72030" w:rsidRPr="000412A1">
        <w:rPr>
          <w:sz w:val="22"/>
          <w:szCs w:val="22"/>
        </w:rPr>
        <w:t>st</w:t>
      </w:r>
      <w:r w:rsidR="00695D9F" w:rsidRPr="000412A1">
        <w:rPr>
          <w:sz w:val="22"/>
          <w:szCs w:val="22"/>
        </w:rPr>
        <w:t xml:space="preserve"> values for growth rate </w:t>
      </w:r>
      <w:r w:rsidR="00695D9F" w:rsidRPr="000412A1">
        <w:rPr>
          <w:i/>
          <w:sz w:val="22"/>
          <w:szCs w:val="22"/>
        </w:rPr>
        <w:t>k</w:t>
      </w:r>
      <w:r w:rsidR="00695D9F" w:rsidRPr="000412A1">
        <w:rPr>
          <w:sz w:val="22"/>
          <w:szCs w:val="22"/>
        </w:rPr>
        <w:t xml:space="preserve"> as an indicat</w:t>
      </w:r>
      <w:r w:rsidR="00C72030" w:rsidRPr="000412A1">
        <w:rPr>
          <w:sz w:val="22"/>
          <w:szCs w:val="22"/>
        </w:rPr>
        <w:t>or</w:t>
      </w:r>
      <w:r w:rsidR="00695D9F" w:rsidRPr="000412A1">
        <w:rPr>
          <w:sz w:val="22"/>
          <w:szCs w:val="22"/>
        </w:rPr>
        <w:t xml:space="preserve"> of </w:t>
      </w:r>
      <w:r w:rsidR="00C72030" w:rsidRPr="000412A1">
        <w:rPr>
          <w:sz w:val="22"/>
          <w:szCs w:val="22"/>
        </w:rPr>
        <w:t xml:space="preserve">accessible </w:t>
      </w:r>
      <w:r w:rsidR="00695D9F" w:rsidRPr="000412A1">
        <w:rPr>
          <w:sz w:val="22"/>
          <w:szCs w:val="22"/>
        </w:rPr>
        <w:t xml:space="preserve">humidity removal in this sample. </w:t>
      </w:r>
      <w:r w:rsidR="00A84E7A" w:rsidRPr="000412A1">
        <w:rPr>
          <w:sz w:val="22"/>
          <w:szCs w:val="22"/>
        </w:rPr>
        <w:t xml:space="preserve">Overall, using the logistic model to calculate </w:t>
      </w:r>
      <w:r w:rsidR="00695D9F" w:rsidRPr="000412A1">
        <w:rPr>
          <w:sz w:val="22"/>
          <w:szCs w:val="22"/>
        </w:rPr>
        <w:t xml:space="preserve">the drying behaviour </w:t>
      </w:r>
      <w:r w:rsidR="002F1467" w:rsidRPr="000412A1">
        <w:rPr>
          <w:sz w:val="22"/>
          <w:szCs w:val="22"/>
        </w:rPr>
        <w:t xml:space="preserve">of a sludge sample </w:t>
      </w:r>
      <w:r w:rsidR="00A84E7A" w:rsidRPr="000412A1">
        <w:rPr>
          <w:sz w:val="22"/>
          <w:szCs w:val="22"/>
        </w:rPr>
        <w:t>can function as</w:t>
      </w:r>
      <w:r w:rsidR="00695D9F" w:rsidRPr="000412A1">
        <w:rPr>
          <w:sz w:val="22"/>
          <w:szCs w:val="22"/>
        </w:rPr>
        <w:t xml:space="preserve"> a quantitative </w:t>
      </w:r>
      <w:r w:rsidR="00A84E7A" w:rsidRPr="000412A1">
        <w:rPr>
          <w:sz w:val="22"/>
          <w:szCs w:val="22"/>
        </w:rPr>
        <w:t xml:space="preserve">tool for </w:t>
      </w:r>
      <w:r w:rsidR="00695D9F" w:rsidRPr="000412A1">
        <w:rPr>
          <w:sz w:val="22"/>
          <w:szCs w:val="22"/>
        </w:rPr>
        <w:t>evaluating thermal performance</w:t>
      </w:r>
      <w:r w:rsidR="003B61F4" w:rsidRPr="000412A1">
        <w:rPr>
          <w:sz w:val="22"/>
          <w:szCs w:val="22"/>
        </w:rPr>
        <w:t xml:space="preserve"> (see Figure S1b)</w:t>
      </w:r>
      <w:r w:rsidR="00695D9F" w:rsidRPr="000412A1">
        <w:rPr>
          <w:sz w:val="22"/>
          <w:szCs w:val="22"/>
        </w:rPr>
        <w:t xml:space="preserve">. </w:t>
      </w:r>
    </w:p>
    <w:p w14:paraId="6A92CABB" w14:textId="499DDABD" w:rsidR="00203457" w:rsidRPr="000412A1" w:rsidRDefault="00CB231F" w:rsidP="00CB231F">
      <w:pPr>
        <w:spacing w:after="160" w:line="480" w:lineRule="auto"/>
        <w:rPr>
          <w:sz w:val="22"/>
          <w:szCs w:val="22"/>
        </w:rPr>
      </w:pPr>
      <w:r w:rsidRPr="009A0A82">
        <w:rPr>
          <w:b/>
          <w:bCs/>
        </w:rPr>
        <w:t>Table 3.</w:t>
      </w:r>
      <w:r w:rsidRPr="000412A1">
        <w:t xml:space="preserve"> </w:t>
      </w:r>
      <w:r w:rsidR="00203457" w:rsidRPr="000412A1">
        <w:rPr>
          <w:sz w:val="22"/>
          <w:szCs w:val="22"/>
        </w:rPr>
        <w:t xml:space="preserve">Values associated with </w:t>
      </w:r>
      <w:r w:rsidR="00FD7C26" w:rsidRPr="000412A1">
        <w:rPr>
          <w:sz w:val="22"/>
          <w:szCs w:val="22"/>
        </w:rPr>
        <w:t xml:space="preserve">water </w:t>
      </w:r>
      <w:r w:rsidR="00203457" w:rsidRPr="000412A1">
        <w:rPr>
          <w:sz w:val="22"/>
          <w:szCs w:val="22"/>
        </w:rPr>
        <w:t xml:space="preserve">release for different </w:t>
      </w:r>
      <w:r w:rsidR="00FD7C26" w:rsidRPr="000412A1">
        <w:rPr>
          <w:sz w:val="22"/>
          <w:szCs w:val="22"/>
        </w:rPr>
        <w:t xml:space="preserve">evaluated </w:t>
      </w:r>
      <w:r w:rsidR="00203457" w:rsidRPr="000412A1">
        <w:rPr>
          <w:sz w:val="22"/>
          <w:szCs w:val="22"/>
        </w:rPr>
        <w:t>samples.</w:t>
      </w:r>
    </w:p>
    <w:tbl>
      <w:tblPr>
        <w:tblW w:w="8393" w:type="dxa"/>
        <w:tblLayout w:type="fixed"/>
        <w:tblLook w:val="0420" w:firstRow="1" w:lastRow="0" w:firstColumn="0" w:lastColumn="0" w:noHBand="0" w:noVBand="1"/>
      </w:tblPr>
      <w:tblGrid>
        <w:gridCol w:w="1084"/>
        <w:gridCol w:w="1184"/>
        <w:gridCol w:w="1483"/>
        <w:gridCol w:w="1352"/>
        <w:gridCol w:w="1985"/>
        <w:gridCol w:w="1305"/>
      </w:tblGrid>
      <w:tr w:rsidR="00203457" w:rsidRPr="000412A1" w14:paraId="25773DF5" w14:textId="77777777" w:rsidTr="009A0A82">
        <w:trPr>
          <w:trHeight w:val="375"/>
        </w:trPr>
        <w:tc>
          <w:tcPr>
            <w:tcW w:w="1084" w:type="dxa"/>
            <w:tcBorders>
              <w:top w:val="single" w:sz="4" w:space="0" w:color="auto"/>
              <w:bottom w:val="single" w:sz="4" w:space="0" w:color="auto"/>
            </w:tcBorders>
            <w:noWrap/>
            <w:vAlign w:val="center"/>
            <w:hideMark/>
          </w:tcPr>
          <w:p w14:paraId="1C786092" w14:textId="77777777" w:rsidR="00203457" w:rsidRPr="000412A1" w:rsidRDefault="00203457" w:rsidP="00203457">
            <w:pPr>
              <w:spacing w:line="480" w:lineRule="auto"/>
              <w:rPr>
                <w:b/>
                <w:sz w:val="22"/>
                <w:szCs w:val="22"/>
              </w:rPr>
            </w:pPr>
            <w:commentRangeStart w:id="8"/>
          </w:p>
        </w:tc>
        <w:tc>
          <w:tcPr>
            <w:tcW w:w="1184" w:type="dxa"/>
            <w:tcBorders>
              <w:top w:val="single" w:sz="4" w:space="0" w:color="auto"/>
              <w:bottom w:val="single" w:sz="4" w:space="0" w:color="auto"/>
            </w:tcBorders>
            <w:noWrap/>
            <w:vAlign w:val="center"/>
            <w:hideMark/>
          </w:tcPr>
          <w:p w14:paraId="511D8573" w14:textId="7938317D" w:rsidR="00203457" w:rsidRPr="000412A1" w:rsidRDefault="00203457" w:rsidP="00203457">
            <w:pPr>
              <w:spacing w:line="480" w:lineRule="auto"/>
              <w:jc w:val="center"/>
              <w:rPr>
                <w:b/>
                <w:sz w:val="22"/>
                <w:szCs w:val="22"/>
              </w:rPr>
            </w:pPr>
            <w:r w:rsidRPr="000412A1">
              <w:rPr>
                <w:b/>
                <w:sz w:val="22"/>
                <w:szCs w:val="22"/>
              </w:rPr>
              <w:t xml:space="preserve">Time </w:t>
            </w:r>
            <w:r w:rsidR="00692544" w:rsidRPr="000412A1">
              <w:rPr>
                <w:sz w:val="22"/>
                <w:szCs w:val="22"/>
              </w:rPr>
              <w:t xml:space="preserve">] </w:t>
            </w:r>
            <w:r w:rsidRPr="000412A1">
              <w:rPr>
                <w:b/>
                <w:sz w:val="22"/>
                <w:szCs w:val="22"/>
                <w:vertAlign w:val="subscript"/>
              </w:rPr>
              <w:t xml:space="preserve">mass loss_20% </w:t>
            </w:r>
            <w:r w:rsidRPr="000412A1">
              <w:rPr>
                <w:b/>
                <w:sz w:val="22"/>
                <w:szCs w:val="22"/>
              </w:rPr>
              <w:t>(s)</w:t>
            </w:r>
            <w:commentRangeEnd w:id="8"/>
            <w:r w:rsidR="001E7DCA" w:rsidRPr="000412A1">
              <w:rPr>
                <w:rStyle w:val="Refdecomentario"/>
              </w:rPr>
              <w:commentReference w:id="8"/>
            </w:r>
          </w:p>
        </w:tc>
        <w:tc>
          <w:tcPr>
            <w:tcW w:w="1483" w:type="dxa"/>
            <w:tcBorders>
              <w:top w:val="single" w:sz="4" w:space="0" w:color="auto"/>
              <w:bottom w:val="single" w:sz="4" w:space="0" w:color="auto"/>
            </w:tcBorders>
            <w:noWrap/>
            <w:vAlign w:val="center"/>
          </w:tcPr>
          <w:p w14:paraId="74956065" w14:textId="77777777" w:rsidR="00203457" w:rsidRPr="000412A1" w:rsidRDefault="00203457" w:rsidP="00203457">
            <w:pPr>
              <w:spacing w:line="480" w:lineRule="auto"/>
              <w:jc w:val="center"/>
              <w:rPr>
                <w:b/>
                <w:sz w:val="22"/>
                <w:szCs w:val="22"/>
              </w:rPr>
            </w:pPr>
            <w:r w:rsidRPr="000412A1">
              <w:rPr>
                <w:b/>
                <w:sz w:val="22"/>
                <w:szCs w:val="22"/>
              </w:rPr>
              <w:t>L</w:t>
            </w:r>
          </w:p>
        </w:tc>
        <w:tc>
          <w:tcPr>
            <w:tcW w:w="1352" w:type="dxa"/>
            <w:tcBorders>
              <w:top w:val="single" w:sz="4" w:space="0" w:color="auto"/>
              <w:bottom w:val="single" w:sz="4" w:space="0" w:color="auto"/>
            </w:tcBorders>
            <w:vAlign w:val="center"/>
          </w:tcPr>
          <w:p w14:paraId="219FF7CE" w14:textId="77777777" w:rsidR="00203457" w:rsidRPr="000412A1" w:rsidRDefault="00203457" w:rsidP="00203457">
            <w:pPr>
              <w:spacing w:line="480" w:lineRule="auto"/>
              <w:jc w:val="center"/>
              <w:rPr>
                <w:b/>
                <w:sz w:val="22"/>
                <w:szCs w:val="22"/>
              </w:rPr>
            </w:pPr>
            <w:r w:rsidRPr="000412A1">
              <w:rPr>
                <w:b/>
                <w:sz w:val="22"/>
                <w:szCs w:val="22"/>
              </w:rPr>
              <w:t>t</w:t>
            </w:r>
            <w:r w:rsidRPr="000412A1">
              <w:rPr>
                <w:b/>
                <w:sz w:val="22"/>
                <w:szCs w:val="22"/>
                <w:vertAlign w:val="subscript"/>
              </w:rPr>
              <w:t>0</w:t>
            </w:r>
          </w:p>
        </w:tc>
        <w:tc>
          <w:tcPr>
            <w:tcW w:w="1985" w:type="dxa"/>
            <w:tcBorders>
              <w:top w:val="single" w:sz="4" w:space="0" w:color="auto"/>
              <w:bottom w:val="single" w:sz="4" w:space="0" w:color="auto"/>
            </w:tcBorders>
            <w:vAlign w:val="center"/>
          </w:tcPr>
          <w:p w14:paraId="10F27015" w14:textId="77777777" w:rsidR="00203457" w:rsidRPr="000412A1" w:rsidRDefault="00203457" w:rsidP="00203457">
            <w:pPr>
              <w:spacing w:line="480" w:lineRule="auto"/>
              <w:jc w:val="center"/>
              <w:rPr>
                <w:b/>
                <w:sz w:val="22"/>
                <w:szCs w:val="22"/>
              </w:rPr>
            </w:pPr>
            <w:r w:rsidRPr="000412A1">
              <w:rPr>
                <w:b/>
                <w:sz w:val="22"/>
                <w:szCs w:val="22"/>
              </w:rPr>
              <w:t>k</w:t>
            </w:r>
          </w:p>
        </w:tc>
        <w:tc>
          <w:tcPr>
            <w:tcW w:w="1305" w:type="dxa"/>
            <w:tcBorders>
              <w:top w:val="single" w:sz="4" w:space="0" w:color="auto"/>
              <w:bottom w:val="single" w:sz="4" w:space="0" w:color="auto"/>
            </w:tcBorders>
            <w:noWrap/>
            <w:vAlign w:val="center"/>
          </w:tcPr>
          <w:p w14:paraId="3FC28BBA" w14:textId="77777777" w:rsidR="00203457" w:rsidRPr="000412A1" w:rsidRDefault="00203457" w:rsidP="00203457">
            <w:pPr>
              <w:spacing w:line="480" w:lineRule="auto"/>
              <w:jc w:val="center"/>
              <w:rPr>
                <w:b/>
                <w:sz w:val="22"/>
                <w:szCs w:val="22"/>
              </w:rPr>
            </w:pPr>
            <w:proofErr w:type="spellStart"/>
            <w:r w:rsidRPr="000412A1">
              <w:rPr>
                <w:b/>
                <w:sz w:val="22"/>
                <w:szCs w:val="22"/>
              </w:rPr>
              <w:t>Adj</w:t>
            </w:r>
            <w:proofErr w:type="spellEnd"/>
            <w:r w:rsidRPr="000412A1">
              <w:rPr>
                <w:b/>
                <w:sz w:val="22"/>
                <w:szCs w:val="22"/>
              </w:rPr>
              <w:t xml:space="preserve"> R</w:t>
            </w:r>
            <w:r w:rsidRPr="000412A1">
              <w:rPr>
                <w:b/>
                <w:sz w:val="22"/>
                <w:szCs w:val="22"/>
                <w:vertAlign w:val="superscript"/>
              </w:rPr>
              <w:t>2</w:t>
            </w:r>
          </w:p>
        </w:tc>
      </w:tr>
      <w:tr w:rsidR="00203457" w:rsidRPr="000412A1" w14:paraId="6F283154" w14:textId="77777777" w:rsidTr="009A0A82">
        <w:trPr>
          <w:trHeight w:val="300"/>
        </w:trPr>
        <w:tc>
          <w:tcPr>
            <w:tcW w:w="1084" w:type="dxa"/>
            <w:tcBorders>
              <w:top w:val="single" w:sz="4" w:space="0" w:color="auto"/>
            </w:tcBorders>
            <w:noWrap/>
            <w:hideMark/>
          </w:tcPr>
          <w:p w14:paraId="6A909C3E" w14:textId="77777777" w:rsidR="00203457" w:rsidRPr="000412A1" w:rsidRDefault="00203457" w:rsidP="00203457">
            <w:pPr>
              <w:spacing w:line="480" w:lineRule="auto"/>
              <w:jc w:val="center"/>
              <w:rPr>
                <w:b/>
                <w:sz w:val="22"/>
                <w:szCs w:val="22"/>
              </w:rPr>
            </w:pPr>
            <w:r w:rsidRPr="000412A1">
              <w:rPr>
                <w:b/>
                <w:sz w:val="22"/>
                <w:szCs w:val="22"/>
              </w:rPr>
              <w:t>Digestate</w:t>
            </w:r>
          </w:p>
        </w:tc>
        <w:tc>
          <w:tcPr>
            <w:tcW w:w="1184" w:type="dxa"/>
            <w:tcBorders>
              <w:top w:val="single" w:sz="4" w:space="0" w:color="auto"/>
            </w:tcBorders>
            <w:noWrap/>
            <w:vAlign w:val="bottom"/>
            <w:hideMark/>
          </w:tcPr>
          <w:p w14:paraId="48C6F839" w14:textId="77777777" w:rsidR="00203457" w:rsidRPr="000412A1" w:rsidRDefault="00203457" w:rsidP="00203457">
            <w:pPr>
              <w:spacing w:line="480" w:lineRule="auto"/>
              <w:jc w:val="center"/>
              <w:rPr>
                <w:sz w:val="22"/>
                <w:szCs w:val="22"/>
              </w:rPr>
            </w:pPr>
            <w:r w:rsidRPr="000412A1">
              <w:rPr>
                <w:sz w:val="22"/>
                <w:szCs w:val="22"/>
              </w:rPr>
              <w:t>540</w:t>
            </w:r>
          </w:p>
        </w:tc>
        <w:tc>
          <w:tcPr>
            <w:tcW w:w="1483" w:type="dxa"/>
            <w:tcBorders>
              <w:top w:val="single" w:sz="4" w:space="0" w:color="auto"/>
            </w:tcBorders>
            <w:noWrap/>
            <w:vAlign w:val="bottom"/>
          </w:tcPr>
          <w:p w14:paraId="142D8CA9" w14:textId="487B6311" w:rsidR="00203457" w:rsidRPr="000412A1" w:rsidRDefault="00203457" w:rsidP="00203457">
            <w:pPr>
              <w:spacing w:line="480" w:lineRule="auto"/>
              <w:jc w:val="center"/>
              <w:rPr>
                <w:sz w:val="22"/>
                <w:szCs w:val="22"/>
              </w:rPr>
            </w:pPr>
            <w:r w:rsidRPr="000412A1">
              <w:rPr>
                <w:sz w:val="22"/>
                <w:szCs w:val="22"/>
              </w:rPr>
              <w:t>100.9</w:t>
            </w:r>
            <w:r w:rsidR="0037723D" w:rsidRPr="000412A1">
              <w:rPr>
                <w:sz w:val="22"/>
                <w:szCs w:val="22"/>
              </w:rPr>
              <w:t xml:space="preserve"> </w:t>
            </w:r>
            <w:r w:rsidRPr="000412A1">
              <w:rPr>
                <w:sz w:val="22"/>
                <w:szCs w:val="22"/>
                <w:lang w:eastAsia="es-ES"/>
              </w:rPr>
              <w:t>±</w:t>
            </w:r>
            <w:r w:rsidR="0037723D" w:rsidRPr="000412A1">
              <w:rPr>
                <w:sz w:val="22"/>
                <w:szCs w:val="22"/>
                <w:lang w:eastAsia="es-ES"/>
              </w:rPr>
              <w:t xml:space="preserve"> </w:t>
            </w:r>
            <w:r w:rsidRPr="000412A1">
              <w:rPr>
                <w:sz w:val="22"/>
                <w:szCs w:val="22"/>
              </w:rPr>
              <w:t>0.5</w:t>
            </w:r>
          </w:p>
        </w:tc>
        <w:tc>
          <w:tcPr>
            <w:tcW w:w="1352" w:type="dxa"/>
            <w:tcBorders>
              <w:top w:val="single" w:sz="4" w:space="0" w:color="auto"/>
            </w:tcBorders>
          </w:tcPr>
          <w:p w14:paraId="3279DCBA" w14:textId="7B2652B8" w:rsidR="00203457" w:rsidRPr="000412A1" w:rsidDel="00052DA9" w:rsidRDefault="00203457" w:rsidP="00203457">
            <w:pPr>
              <w:spacing w:line="480" w:lineRule="auto"/>
              <w:jc w:val="center"/>
              <w:rPr>
                <w:sz w:val="22"/>
                <w:szCs w:val="22"/>
              </w:rPr>
            </w:pPr>
            <w:r w:rsidRPr="000412A1">
              <w:rPr>
                <w:sz w:val="22"/>
                <w:szCs w:val="22"/>
              </w:rPr>
              <w:t>799.0</w:t>
            </w:r>
            <w:r w:rsidR="0037723D" w:rsidRPr="000412A1">
              <w:rPr>
                <w:sz w:val="22"/>
                <w:szCs w:val="22"/>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6.2</w:t>
            </w:r>
          </w:p>
        </w:tc>
        <w:tc>
          <w:tcPr>
            <w:tcW w:w="1985" w:type="dxa"/>
            <w:tcBorders>
              <w:top w:val="single" w:sz="4" w:space="0" w:color="auto"/>
            </w:tcBorders>
          </w:tcPr>
          <w:p w14:paraId="0815A14B" w14:textId="4D6E0B5C" w:rsidR="00203457" w:rsidRPr="000412A1" w:rsidDel="00052DA9" w:rsidRDefault="00203457" w:rsidP="00203457">
            <w:pPr>
              <w:spacing w:line="480" w:lineRule="auto"/>
              <w:jc w:val="center"/>
              <w:rPr>
                <w:sz w:val="22"/>
                <w:szCs w:val="22"/>
              </w:rPr>
            </w:pPr>
            <w:r w:rsidRPr="000412A1">
              <w:rPr>
                <w:sz w:val="22"/>
                <w:szCs w:val="22"/>
              </w:rPr>
              <w:t>0.00566</w:t>
            </w:r>
            <w:r w:rsidR="0037723D" w:rsidRPr="000412A1">
              <w:rPr>
                <w:sz w:val="22"/>
                <w:szCs w:val="22"/>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0.00017</w:t>
            </w:r>
          </w:p>
        </w:tc>
        <w:tc>
          <w:tcPr>
            <w:tcW w:w="1305" w:type="dxa"/>
            <w:tcBorders>
              <w:top w:val="single" w:sz="4" w:space="0" w:color="auto"/>
            </w:tcBorders>
            <w:noWrap/>
            <w:vAlign w:val="bottom"/>
          </w:tcPr>
          <w:p w14:paraId="40D965EE" w14:textId="77777777" w:rsidR="00203457" w:rsidRPr="000412A1" w:rsidRDefault="00203457" w:rsidP="00203457">
            <w:pPr>
              <w:spacing w:line="480" w:lineRule="auto"/>
              <w:jc w:val="center"/>
              <w:rPr>
                <w:sz w:val="22"/>
                <w:szCs w:val="22"/>
              </w:rPr>
            </w:pPr>
            <w:r w:rsidRPr="000412A1">
              <w:rPr>
                <w:sz w:val="22"/>
                <w:szCs w:val="22"/>
              </w:rPr>
              <w:t>0.997</w:t>
            </w:r>
          </w:p>
        </w:tc>
      </w:tr>
      <w:tr w:rsidR="00203457" w:rsidRPr="000412A1" w14:paraId="20F79D13" w14:textId="77777777" w:rsidTr="009A0A82">
        <w:trPr>
          <w:trHeight w:val="300"/>
        </w:trPr>
        <w:tc>
          <w:tcPr>
            <w:tcW w:w="1084" w:type="dxa"/>
            <w:noWrap/>
            <w:hideMark/>
          </w:tcPr>
          <w:p w14:paraId="73F9437F" w14:textId="77777777" w:rsidR="00203457" w:rsidRPr="000412A1" w:rsidRDefault="00203457" w:rsidP="00203457">
            <w:pPr>
              <w:spacing w:line="480" w:lineRule="auto"/>
              <w:jc w:val="center"/>
              <w:rPr>
                <w:b/>
                <w:sz w:val="22"/>
                <w:szCs w:val="22"/>
              </w:rPr>
            </w:pPr>
            <w:r w:rsidRPr="000412A1">
              <w:rPr>
                <w:b/>
                <w:sz w:val="22"/>
                <w:szCs w:val="22"/>
              </w:rPr>
              <w:t>P1</w:t>
            </w:r>
          </w:p>
        </w:tc>
        <w:tc>
          <w:tcPr>
            <w:tcW w:w="1184" w:type="dxa"/>
            <w:noWrap/>
            <w:vAlign w:val="bottom"/>
            <w:hideMark/>
          </w:tcPr>
          <w:p w14:paraId="3C9F5334" w14:textId="77777777" w:rsidR="00203457" w:rsidRPr="000412A1" w:rsidRDefault="00203457" w:rsidP="00203457">
            <w:pPr>
              <w:spacing w:line="480" w:lineRule="auto"/>
              <w:jc w:val="center"/>
              <w:rPr>
                <w:sz w:val="22"/>
                <w:szCs w:val="22"/>
              </w:rPr>
            </w:pPr>
            <w:r w:rsidRPr="000412A1">
              <w:rPr>
                <w:sz w:val="22"/>
                <w:szCs w:val="22"/>
              </w:rPr>
              <w:t>566</w:t>
            </w:r>
          </w:p>
        </w:tc>
        <w:tc>
          <w:tcPr>
            <w:tcW w:w="1483" w:type="dxa"/>
            <w:noWrap/>
            <w:vAlign w:val="bottom"/>
          </w:tcPr>
          <w:p w14:paraId="4747B34E" w14:textId="6D6EA34B" w:rsidR="00203457" w:rsidRPr="000412A1" w:rsidRDefault="00203457" w:rsidP="00203457">
            <w:pPr>
              <w:spacing w:line="480" w:lineRule="auto"/>
              <w:jc w:val="center"/>
              <w:rPr>
                <w:sz w:val="22"/>
                <w:szCs w:val="22"/>
              </w:rPr>
            </w:pPr>
            <w:r w:rsidRPr="000412A1">
              <w:rPr>
                <w:sz w:val="22"/>
                <w:szCs w:val="22"/>
              </w:rPr>
              <w:t>100.8</w:t>
            </w:r>
            <w:r w:rsidR="0037723D" w:rsidRPr="000412A1">
              <w:rPr>
                <w:sz w:val="22"/>
                <w:szCs w:val="22"/>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0.5</w:t>
            </w:r>
          </w:p>
        </w:tc>
        <w:tc>
          <w:tcPr>
            <w:tcW w:w="1352" w:type="dxa"/>
          </w:tcPr>
          <w:p w14:paraId="24B680C5" w14:textId="262A9F1C" w:rsidR="00203457" w:rsidRPr="000412A1" w:rsidDel="00052DA9" w:rsidRDefault="00203457" w:rsidP="00203457">
            <w:pPr>
              <w:spacing w:line="480" w:lineRule="auto"/>
              <w:jc w:val="center"/>
              <w:rPr>
                <w:sz w:val="22"/>
                <w:szCs w:val="22"/>
              </w:rPr>
            </w:pPr>
            <w:r w:rsidRPr="000412A1">
              <w:rPr>
                <w:sz w:val="22"/>
                <w:szCs w:val="22"/>
                <w:lang w:eastAsia="es-ES"/>
              </w:rPr>
              <w:t>792.8</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6.1</w:t>
            </w:r>
          </w:p>
        </w:tc>
        <w:tc>
          <w:tcPr>
            <w:tcW w:w="1985" w:type="dxa"/>
          </w:tcPr>
          <w:p w14:paraId="0876B958" w14:textId="1EF58EA5" w:rsidR="00203457" w:rsidRPr="000412A1" w:rsidDel="00052DA9" w:rsidRDefault="00203457" w:rsidP="00203457">
            <w:pPr>
              <w:spacing w:line="480" w:lineRule="auto"/>
              <w:jc w:val="center"/>
              <w:rPr>
                <w:sz w:val="22"/>
                <w:szCs w:val="22"/>
              </w:rPr>
            </w:pPr>
            <w:r w:rsidRPr="000412A1">
              <w:rPr>
                <w:sz w:val="22"/>
                <w:szCs w:val="22"/>
                <w:lang w:eastAsia="es-ES"/>
              </w:rPr>
              <w:t>0.00635</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0.00021</w:t>
            </w:r>
          </w:p>
        </w:tc>
        <w:tc>
          <w:tcPr>
            <w:tcW w:w="1305" w:type="dxa"/>
            <w:noWrap/>
            <w:vAlign w:val="bottom"/>
          </w:tcPr>
          <w:p w14:paraId="4DB12C26" w14:textId="77777777" w:rsidR="00203457" w:rsidRPr="000412A1" w:rsidRDefault="00203457" w:rsidP="00203457">
            <w:pPr>
              <w:spacing w:line="480" w:lineRule="auto"/>
              <w:jc w:val="center"/>
              <w:rPr>
                <w:sz w:val="22"/>
                <w:szCs w:val="22"/>
              </w:rPr>
            </w:pPr>
            <w:r w:rsidRPr="000412A1">
              <w:rPr>
                <w:sz w:val="22"/>
                <w:szCs w:val="22"/>
              </w:rPr>
              <w:t>0.996</w:t>
            </w:r>
          </w:p>
        </w:tc>
      </w:tr>
      <w:tr w:rsidR="00203457" w:rsidRPr="000412A1" w14:paraId="0C1D68F4" w14:textId="77777777" w:rsidTr="009A0A82">
        <w:trPr>
          <w:trHeight w:val="300"/>
        </w:trPr>
        <w:tc>
          <w:tcPr>
            <w:tcW w:w="1084" w:type="dxa"/>
            <w:noWrap/>
            <w:hideMark/>
          </w:tcPr>
          <w:p w14:paraId="5651B1A0" w14:textId="77777777" w:rsidR="00203457" w:rsidRPr="000412A1" w:rsidRDefault="00203457" w:rsidP="00203457">
            <w:pPr>
              <w:spacing w:line="480" w:lineRule="auto"/>
              <w:jc w:val="center"/>
              <w:rPr>
                <w:b/>
                <w:sz w:val="22"/>
                <w:szCs w:val="22"/>
              </w:rPr>
            </w:pPr>
            <w:r w:rsidRPr="000412A1">
              <w:rPr>
                <w:b/>
                <w:sz w:val="22"/>
                <w:szCs w:val="22"/>
              </w:rPr>
              <w:t>P2</w:t>
            </w:r>
          </w:p>
        </w:tc>
        <w:tc>
          <w:tcPr>
            <w:tcW w:w="1184" w:type="dxa"/>
            <w:noWrap/>
            <w:vAlign w:val="bottom"/>
            <w:hideMark/>
          </w:tcPr>
          <w:p w14:paraId="17182B28" w14:textId="77777777" w:rsidR="00203457" w:rsidRPr="000412A1" w:rsidRDefault="00203457" w:rsidP="00203457">
            <w:pPr>
              <w:spacing w:line="480" w:lineRule="auto"/>
              <w:jc w:val="center"/>
              <w:rPr>
                <w:sz w:val="22"/>
                <w:szCs w:val="22"/>
              </w:rPr>
            </w:pPr>
            <w:r w:rsidRPr="000412A1">
              <w:rPr>
                <w:sz w:val="22"/>
                <w:szCs w:val="22"/>
              </w:rPr>
              <w:t>506</w:t>
            </w:r>
          </w:p>
        </w:tc>
        <w:tc>
          <w:tcPr>
            <w:tcW w:w="1483" w:type="dxa"/>
            <w:noWrap/>
            <w:vAlign w:val="bottom"/>
          </w:tcPr>
          <w:p w14:paraId="153C63D1" w14:textId="5C2E0B26" w:rsidR="00203457" w:rsidRPr="000412A1" w:rsidRDefault="00203457" w:rsidP="00203457">
            <w:pPr>
              <w:spacing w:line="480" w:lineRule="auto"/>
              <w:jc w:val="center"/>
              <w:rPr>
                <w:sz w:val="22"/>
                <w:szCs w:val="22"/>
              </w:rPr>
            </w:pPr>
            <w:r w:rsidRPr="000412A1">
              <w:rPr>
                <w:sz w:val="22"/>
                <w:szCs w:val="22"/>
                <w:lang w:eastAsia="es-ES"/>
              </w:rPr>
              <w:t>100.7</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0.4</w:t>
            </w:r>
          </w:p>
        </w:tc>
        <w:tc>
          <w:tcPr>
            <w:tcW w:w="1352" w:type="dxa"/>
          </w:tcPr>
          <w:p w14:paraId="48CE0AF0" w14:textId="4C26B144" w:rsidR="00203457" w:rsidRPr="000412A1" w:rsidDel="00052DA9" w:rsidRDefault="00203457" w:rsidP="00203457">
            <w:pPr>
              <w:spacing w:line="480" w:lineRule="auto"/>
              <w:jc w:val="center"/>
              <w:rPr>
                <w:sz w:val="22"/>
                <w:szCs w:val="22"/>
              </w:rPr>
            </w:pPr>
            <w:r w:rsidRPr="000412A1">
              <w:rPr>
                <w:sz w:val="22"/>
                <w:szCs w:val="22"/>
                <w:lang w:eastAsia="es-ES"/>
              </w:rPr>
              <w:t>750.5</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5.4</w:t>
            </w:r>
          </w:p>
        </w:tc>
        <w:tc>
          <w:tcPr>
            <w:tcW w:w="1985" w:type="dxa"/>
          </w:tcPr>
          <w:p w14:paraId="23867401" w14:textId="093059E6" w:rsidR="00203457" w:rsidRPr="000412A1" w:rsidDel="00052DA9" w:rsidRDefault="00203457" w:rsidP="00203457">
            <w:pPr>
              <w:spacing w:line="480" w:lineRule="auto"/>
              <w:jc w:val="center"/>
              <w:rPr>
                <w:sz w:val="22"/>
                <w:szCs w:val="22"/>
              </w:rPr>
            </w:pPr>
            <w:r w:rsidRPr="000412A1">
              <w:rPr>
                <w:sz w:val="22"/>
                <w:szCs w:val="22"/>
                <w:lang w:eastAsia="es-ES"/>
              </w:rPr>
              <w:t>0.00600</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0.00017</w:t>
            </w:r>
          </w:p>
        </w:tc>
        <w:tc>
          <w:tcPr>
            <w:tcW w:w="1305" w:type="dxa"/>
            <w:noWrap/>
            <w:vAlign w:val="bottom"/>
          </w:tcPr>
          <w:p w14:paraId="781D0388" w14:textId="77777777" w:rsidR="00203457" w:rsidRPr="000412A1" w:rsidRDefault="00203457" w:rsidP="00203457">
            <w:pPr>
              <w:spacing w:line="480" w:lineRule="auto"/>
              <w:jc w:val="center"/>
              <w:rPr>
                <w:sz w:val="22"/>
                <w:szCs w:val="22"/>
              </w:rPr>
            </w:pPr>
            <w:r w:rsidRPr="000412A1">
              <w:rPr>
                <w:sz w:val="22"/>
                <w:szCs w:val="22"/>
              </w:rPr>
              <w:t>0.997</w:t>
            </w:r>
          </w:p>
        </w:tc>
      </w:tr>
      <w:tr w:rsidR="00203457" w:rsidRPr="000412A1" w14:paraId="68F36974" w14:textId="77777777" w:rsidTr="009A0A82">
        <w:trPr>
          <w:trHeight w:val="300"/>
        </w:trPr>
        <w:tc>
          <w:tcPr>
            <w:tcW w:w="1084" w:type="dxa"/>
            <w:noWrap/>
            <w:hideMark/>
          </w:tcPr>
          <w:p w14:paraId="5F500585" w14:textId="77777777" w:rsidR="00203457" w:rsidRPr="000412A1" w:rsidRDefault="00203457" w:rsidP="00203457">
            <w:pPr>
              <w:spacing w:line="480" w:lineRule="auto"/>
              <w:jc w:val="center"/>
              <w:rPr>
                <w:b/>
                <w:sz w:val="22"/>
                <w:szCs w:val="22"/>
              </w:rPr>
            </w:pPr>
            <w:r w:rsidRPr="000412A1">
              <w:rPr>
                <w:b/>
                <w:sz w:val="22"/>
                <w:szCs w:val="22"/>
              </w:rPr>
              <w:t>P3</w:t>
            </w:r>
          </w:p>
        </w:tc>
        <w:tc>
          <w:tcPr>
            <w:tcW w:w="1184" w:type="dxa"/>
            <w:noWrap/>
            <w:vAlign w:val="bottom"/>
            <w:hideMark/>
          </w:tcPr>
          <w:p w14:paraId="1BF0B7F4" w14:textId="77777777" w:rsidR="00203457" w:rsidRPr="000412A1" w:rsidRDefault="00203457" w:rsidP="00203457">
            <w:pPr>
              <w:spacing w:line="480" w:lineRule="auto"/>
              <w:jc w:val="center"/>
              <w:rPr>
                <w:sz w:val="22"/>
                <w:szCs w:val="22"/>
              </w:rPr>
            </w:pPr>
            <w:r w:rsidRPr="000412A1">
              <w:rPr>
                <w:sz w:val="22"/>
                <w:szCs w:val="22"/>
              </w:rPr>
              <w:t>510</w:t>
            </w:r>
          </w:p>
        </w:tc>
        <w:tc>
          <w:tcPr>
            <w:tcW w:w="1483" w:type="dxa"/>
            <w:noWrap/>
            <w:vAlign w:val="bottom"/>
          </w:tcPr>
          <w:p w14:paraId="7CCDD00C" w14:textId="19869C7C" w:rsidR="00203457" w:rsidRPr="000412A1" w:rsidRDefault="00203457" w:rsidP="00203457">
            <w:pPr>
              <w:spacing w:line="480" w:lineRule="auto"/>
              <w:jc w:val="center"/>
              <w:rPr>
                <w:sz w:val="22"/>
                <w:szCs w:val="22"/>
              </w:rPr>
            </w:pPr>
            <w:r w:rsidRPr="000412A1">
              <w:rPr>
                <w:sz w:val="22"/>
                <w:szCs w:val="22"/>
                <w:lang w:eastAsia="es-ES"/>
              </w:rPr>
              <w:t>100.6</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0.3</w:t>
            </w:r>
          </w:p>
        </w:tc>
        <w:tc>
          <w:tcPr>
            <w:tcW w:w="1352" w:type="dxa"/>
          </w:tcPr>
          <w:p w14:paraId="7EB35657" w14:textId="036B4B1C" w:rsidR="00203457" w:rsidRPr="000412A1" w:rsidDel="00052DA9" w:rsidRDefault="00203457" w:rsidP="00203457">
            <w:pPr>
              <w:spacing w:line="480" w:lineRule="auto"/>
              <w:jc w:val="center"/>
              <w:rPr>
                <w:sz w:val="22"/>
                <w:szCs w:val="22"/>
              </w:rPr>
            </w:pPr>
            <w:r w:rsidRPr="000412A1">
              <w:rPr>
                <w:sz w:val="22"/>
                <w:szCs w:val="22"/>
                <w:lang w:eastAsia="es-ES"/>
              </w:rPr>
              <w:t>770.2</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4.2</w:t>
            </w:r>
          </w:p>
        </w:tc>
        <w:tc>
          <w:tcPr>
            <w:tcW w:w="1985" w:type="dxa"/>
          </w:tcPr>
          <w:p w14:paraId="41043CB8" w14:textId="65A1BF2F" w:rsidR="00203457" w:rsidRPr="000412A1" w:rsidDel="00052DA9" w:rsidRDefault="00203457" w:rsidP="00203457">
            <w:pPr>
              <w:spacing w:line="480" w:lineRule="auto"/>
              <w:jc w:val="center"/>
              <w:rPr>
                <w:sz w:val="22"/>
                <w:szCs w:val="22"/>
              </w:rPr>
            </w:pPr>
            <w:r w:rsidRPr="000412A1">
              <w:rPr>
                <w:sz w:val="22"/>
                <w:szCs w:val="22"/>
                <w:lang w:eastAsia="es-ES"/>
              </w:rPr>
              <w:t>0.00535</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0.00010</w:t>
            </w:r>
          </w:p>
        </w:tc>
        <w:tc>
          <w:tcPr>
            <w:tcW w:w="1305" w:type="dxa"/>
            <w:noWrap/>
            <w:vAlign w:val="bottom"/>
          </w:tcPr>
          <w:p w14:paraId="5A9A3516" w14:textId="77777777" w:rsidR="00203457" w:rsidRPr="000412A1" w:rsidRDefault="00203457" w:rsidP="00203457">
            <w:pPr>
              <w:spacing w:line="480" w:lineRule="auto"/>
              <w:jc w:val="center"/>
              <w:rPr>
                <w:sz w:val="22"/>
                <w:szCs w:val="22"/>
              </w:rPr>
            </w:pPr>
            <w:r w:rsidRPr="000412A1">
              <w:rPr>
                <w:sz w:val="22"/>
                <w:szCs w:val="22"/>
              </w:rPr>
              <w:t>0.998</w:t>
            </w:r>
          </w:p>
        </w:tc>
      </w:tr>
      <w:tr w:rsidR="00203457" w:rsidRPr="000412A1" w14:paraId="5D47FC30" w14:textId="77777777" w:rsidTr="009A0A82">
        <w:trPr>
          <w:trHeight w:val="300"/>
        </w:trPr>
        <w:tc>
          <w:tcPr>
            <w:tcW w:w="1084" w:type="dxa"/>
            <w:noWrap/>
            <w:hideMark/>
          </w:tcPr>
          <w:p w14:paraId="5D216686" w14:textId="77777777" w:rsidR="00203457" w:rsidRPr="000412A1" w:rsidRDefault="00203457" w:rsidP="00203457">
            <w:pPr>
              <w:spacing w:line="480" w:lineRule="auto"/>
              <w:jc w:val="center"/>
              <w:rPr>
                <w:b/>
                <w:sz w:val="22"/>
                <w:szCs w:val="22"/>
              </w:rPr>
            </w:pPr>
            <w:r w:rsidRPr="000412A1">
              <w:rPr>
                <w:b/>
                <w:sz w:val="22"/>
                <w:szCs w:val="22"/>
              </w:rPr>
              <w:t>P4</w:t>
            </w:r>
          </w:p>
        </w:tc>
        <w:tc>
          <w:tcPr>
            <w:tcW w:w="1184" w:type="dxa"/>
            <w:noWrap/>
            <w:vAlign w:val="bottom"/>
            <w:hideMark/>
          </w:tcPr>
          <w:p w14:paraId="65670549" w14:textId="77777777" w:rsidR="00203457" w:rsidRPr="000412A1" w:rsidRDefault="00203457" w:rsidP="00203457">
            <w:pPr>
              <w:spacing w:line="480" w:lineRule="auto"/>
              <w:jc w:val="center"/>
              <w:rPr>
                <w:sz w:val="22"/>
                <w:szCs w:val="22"/>
              </w:rPr>
            </w:pPr>
            <w:r w:rsidRPr="000412A1">
              <w:rPr>
                <w:sz w:val="22"/>
                <w:szCs w:val="22"/>
              </w:rPr>
              <w:t>463</w:t>
            </w:r>
          </w:p>
        </w:tc>
        <w:tc>
          <w:tcPr>
            <w:tcW w:w="1483" w:type="dxa"/>
            <w:noWrap/>
            <w:vAlign w:val="bottom"/>
          </w:tcPr>
          <w:p w14:paraId="3C429CDC" w14:textId="2EBCBC0A" w:rsidR="00203457" w:rsidRPr="000412A1" w:rsidRDefault="00203457" w:rsidP="00203457">
            <w:pPr>
              <w:spacing w:line="480" w:lineRule="auto"/>
              <w:jc w:val="center"/>
              <w:rPr>
                <w:sz w:val="22"/>
                <w:szCs w:val="22"/>
              </w:rPr>
            </w:pPr>
            <w:r w:rsidRPr="000412A1">
              <w:rPr>
                <w:sz w:val="22"/>
                <w:szCs w:val="22"/>
                <w:lang w:eastAsia="es-ES"/>
              </w:rPr>
              <w:t>100.8</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0.5</w:t>
            </w:r>
          </w:p>
        </w:tc>
        <w:tc>
          <w:tcPr>
            <w:tcW w:w="1352" w:type="dxa"/>
          </w:tcPr>
          <w:p w14:paraId="62886781" w14:textId="4ACA3E29" w:rsidR="00203457" w:rsidRPr="000412A1" w:rsidDel="00052DA9" w:rsidRDefault="00203457" w:rsidP="00203457">
            <w:pPr>
              <w:spacing w:line="480" w:lineRule="auto"/>
              <w:jc w:val="center"/>
              <w:rPr>
                <w:sz w:val="22"/>
                <w:szCs w:val="22"/>
              </w:rPr>
            </w:pPr>
            <w:r w:rsidRPr="000412A1">
              <w:rPr>
                <w:sz w:val="22"/>
                <w:szCs w:val="22"/>
                <w:lang w:eastAsia="es-ES"/>
              </w:rPr>
              <w:t>702.2</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6.7</w:t>
            </w:r>
          </w:p>
        </w:tc>
        <w:tc>
          <w:tcPr>
            <w:tcW w:w="1985" w:type="dxa"/>
          </w:tcPr>
          <w:p w14:paraId="25F7B9EC" w14:textId="7501EB03" w:rsidR="00203457" w:rsidRPr="000412A1" w:rsidDel="00052DA9" w:rsidRDefault="00203457" w:rsidP="00203457">
            <w:pPr>
              <w:spacing w:line="480" w:lineRule="auto"/>
              <w:jc w:val="center"/>
              <w:rPr>
                <w:sz w:val="22"/>
                <w:szCs w:val="22"/>
              </w:rPr>
            </w:pPr>
            <w:r w:rsidRPr="000412A1">
              <w:rPr>
                <w:sz w:val="22"/>
                <w:szCs w:val="22"/>
                <w:lang w:eastAsia="es-ES"/>
              </w:rPr>
              <w:t>0.00630</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0.00023</w:t>
            </w:r>
          </w:p>
        </w:tc>
        <w:tc>
          <w:tcPr>
            <w:tcW w:w="1305" w:type="dxa"/>
            <w:noWrap/>
            <w:vAlign w:val="bottom"/>
          </w:tcPr>
          <w:p w14:paraId="2BA46874" w14:textId="77777777" w:rsidR="00203457" w:rsidRPr="000412A1" w:rsidRDefault="00203457" w:rsidP="00203457">
            <w:pPr>
              <w:spacing w:line="480" w:lineRule="auto"/>
              <w:jc w:val="center"/>
              <w:rPr>
                <w:sz w:val="22"/>
                <w:szCs w:val="22"/>
              </w:rPr>
            </w:pPr>
            <w:r w:rsidRPr="000412A1">
              <w:rPr>
                <w:sz w:val="22"/>
                <w:szCs w:val="22"/>
              </w:rPr>
              <w:t>0.995</w:t>
            </w:r>
          </w:p>
        </w:tc>
      </w:tr>
      <w:tr w:rsidR="00203457" w:rsidRPr="000412A1" w14:paraId="6C34B5FE" w14:textId="77777777" w:rsidTr="009A0A82">
        <w:trPr>
          <w:trHeight w:val="315"/>
        </w:trPr>
        <w:tc>
          <w:tcPr>
            <w:tcW w:w="1084" w:type="dxa"/>
            <w:tcBorders>
              <w:bottom w:val="single" w:sz="4" w:space="0" w:color="auto"/>
            </w:tcBorders>
            <w:noWrap/>
            <w:hideMark/>
          </w:tcPr>
          <w:p w14:paraId="2DA2934F" w14:textId="77777777" w:rsidR="00203457" w:rsidRPr="000412A1" w:rsidRDefault="00203457" w:rsidP="00203457">
            <w:pPr>
              <w:spacing w:line="480" w:lineRule="auto"/>
              <w:jc w:val="center"/>
              <w:rPr>
                <w:b/>
                <w:sz w:val="22"/>
                <w:szCs w:val="22"/>
              </w:rPr>
            </w:pPr>
            <w:r w:rsidRPr="000412A1">
              <w:rPr>
                <w:b/>
                <w:sz w:val="22"/>
                <w:szCs w:val="22"/>
              </w:rPr>
              <w:t>P5</w:t>
            </w:r>
          </w:p>
        </w:tc>
        <w:tc>
          <w:tcPr>
            <w:tcW w:w="1184" w:type="dxa"/>
            <w:tcBorders>
              <w:bottom w:val="single" w:sz="4" w:space="0" w:color="auto"/>
            </w:tcBorders>
            <w:noWrap/>
            <w:vAlign w:val="bottom"/>
            <w:hideMark/>
          </w:tcPr>
          <w:p w14:paraId="50F9F752" w14:textId="77777777" w:rsidR="00203457" w:rsidRPr="000412A1" w:rsidRDefault="00203457" w:rsidP="00203457">
            <w:pPr>
              <w:spacing w:line="480" w:lineRule="auto"/>
              <w:jc w:val="center"/>
              <w:rPr>
                <w:sz w:val="22"/>
                <w:szCs w:val="22"/>
              </w:rPr>
            </w:pPr>
            <w:r w:rsidRPr="000412A1">
              <w:rPr>
                <w:sz w:val="22"/>
                <w:szCs w:val="22"/>
              </w:rPr>
              <w:t>347</w:t>
            </w:r>
          </w:p>
        </w:tc>
        <w:tc>
          <w:tcPr>
            <w:tcW w:w="1483" w:type="dxa"/>
            <w:tcBorders>
              <w:bottom w:val="single" w:sz="4" w:space="0" w:color="auto"/>
            </w:tcBorders>
            <w:noWrap/>
            <w:vAlign w:val="bottom"/>
          </w:tcPr>
          <w:p w14:paraId="2091D26B" w14:textId="57195A04" w:rsidR="00203457" w:rsidRPr="000412A1" w:rsidRDefault="00203457" w:rsidP="00203457">
            <w:pPr>
              <w:spacing w:line="480" w:lineRule="auto"/>
              <w:jc w:val="center"/>
              <w:rPr>
                <w:sz w:val="22"/>
                <w:szCs w:val="22"/>
              </w:rPr>
            </w:pPr>
            <w:r w:rsidRPr="000412A1">
              <w:rPr>
                <w:sz w:val="22"/>
                <w:szCs w:val="22"/>
                <w:lang w:eastAsia="es-ES"/>
              </w:rPr>
              <w:t>100.4</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0.3</w:t>
            </w:r>
          </w:p>
        </w:tc>
        <w:tc>
          <w:tcPr>
            <w:tcW w:w="1352" w:type="dxa"/>
            <w:tcBorders>
              <w:bottom w:val="single" w:sz="4" w:space="0" w:color="auto"/>
            </w:tcBorders>
          </w:tcPr>
          <w:p w14:paraId="15420D3E" w14:textId="2A835721" w:rsidR="00203457" w:rsidRPr="000412A1" w:rsidDel="00052DA9" w:rsidRDefault="00203457" w:rsidP="00203457">
            <w:pPr>
              <w:spacing w:line="480" w:lineRule="auto"/>
              <w:jc w:val="center"/>
              <w:rPr>
                <w:sz w:val="22"/>
                <w:szCs w:val="22"/>
              </w:rPr>
            </w:pPr>
            <w:r w:rsidRPr="000412A1">
              <w:rPr>
                <w:sz w:val="22"/>
                <w:szCs w:val="22"/>
                <w:lang w:eastAsia="es-ES"/>
              </w:rPr>
              <w:t>504.2</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3.0</w:t>
            </w:r>
          </w:p>
        </w:tc>
        <w:tc>
          <w:tcPr>
            <w:tcW w:w="1985" w:type="dxa"/>
            <w:tcBorders>
              <w:bottom w:val="single" w:sz="4" w:space="0" w:color="auto"/>
            </w:tcBorders>
          </w:tcPr>
          <w:p w14:paraId="2202CA1C" w14:textId="13FF6CD5" w:rsidR="00203457" w:rsidRPr="000412A1" w:rsidDel="00052DA9" w:rsidRDefault="00203457" w:rsidP="00203457">
            <w:pPr>
              <w:spacing w:line="480" w:lineRule="auto"/>
              <w:jc w:val="center"/>
              <w:rPr>
                <w:sz w:val="22"/>
                <w:szCs w:val="22"/>
              </w:rPr>
            </w:pPr>
            <w:r w:rsidRPr="000412A1">
              <w:rPr>
                <w:sz w:val="22"/>
                <w:szCs w:val="22"/>
                <w:lang w:eastAsia="es-ES"/>
              </w:rPr>
              <w:t>0.00921</w:t>
            </w:r>
            <w:r w:rsidR="0037723D" w:rsidRPr="000412A1">
              <w:rPr>
                <w:sz w:val="22"/>
                <w:szCs w:val="22"/>
                <w:lang w:eastAsia="es-ES"/>
              </w:rPr>
              <w:t xml:space="preserve"> </w:t>
            </w:r>
            <w:r w:rsidRPr="000412A1">
              <w:rPr>
                <w:sz w:val="22"/>
                <w:szCs w:val="22"/>
                <w:lang w:eastAsia="es-ES"/>
              </w:rPr>
              <w:t>±</w:t>
            </w:r>
            <w:r w:rsidR="0037723D" w:rsidRPr="000412A1">
              <w:rPr>
                <w:sz w:val="22"/>
                <w:szCs w:val="22"/>
                <w:lang w:eastAsia="es-ES"/>
              </w:rPr>
              <w:t xml:space="preserve"> </w:t>
            </w:r>
            <w:r w:rsidRPr="000412A1">
              <w:rPr>
                <w:sz w:val="22"/>
                <w:szCs w:val="22"/>
                <w:lang w:eastAsia="es-ES"/>
              </w:rPr>
              <w:t>0.00022</w:t>
            </w:r>
          </w:p>
        </w:tc>
        <w:tc>
          <w:tcPr>
            <w:tcW w:w="1305" w:type="dxa"/>
            <w:tcBorders>
              <w:bottom w:val="single" w:sz="4" w:space="0" w:color="auto"/>
            </w:tcBorders>
            <w:noWrap/>
            <w:vAlign w:val="bottom"/>
          </w:tcPr>
          <w:p w14:paraId="60104BB1" w14:textId="77777777" w:rsidR="00203457" w:rsidRPr="000412A1" w:rsidRDefault="00203457" w:rsidP="00203457">
            <w:pPr>
              <w:spacing w:line="480" w:lineRule="auto"/>
              <w:jc w:val="center"/>
              <w:rPr>
                <w:sz w:val="22"/>
                <w:szCs w:val="22"/>
              </w:rPr>
            </w:pPr>
            <w:r w:rsidRPr="000412A1">
              <w:rPr>
                <w:sz w:val="22"/>
                <w:szCs w:val="22"/>
              </w:rPr>
              <w:t>0.998</w:t>
            </w:r>
          </w:p>
        </w:tc>
      </w:tr>
    </w:tbl>
    <w:p w14:paraId="744DA800" w14:textId="77777777" w:rsidR="00203457" w:rsidRPr="000412A1" w:rsidRDefault="00203457" w:rsidP="00AA72EF">
      <w:pPr>
        <w:spacing w:after="160" w:line="480" w:lineRule="auto"/>
        <w:rPr>
          <w:sz w:val="22"/>
          <w:szCs w:val="22"/>
        </w:rPr>
      </w:pPr>
    </w:p>
    <w:p w14:paraId="7BBE9DAE" w14:textId="4B7258EC" w:rsidR="00BA5ED0" w:rsidRPr="000412A1" w:rsidRDefault="00714990" w:rsidP="007A5506">
      <w:pPr>
        <w:spacing w:line="480" w:lineRule="auto"/>
        <w:rPr>
          <w:sz w:val="22"/>
          <w:szCs w:val="22"/>
        </w:rPr>
      </w:pPr>
      <w:r>
        <w:rPr>
          <w:sz w:val="22"/>
          <w:szCs w:val="22"/>
        </w:rPr>
        <w:t>The r</w:t>
      </w:r>
      <w:r w:rsidR="007A5506" w:rsidRPr="000412A1">
        <w:rPr>
          <w:sz w:val="22"/>
          <w:szCs w:val="22"/>
        </w:rPr>
        <w:t>esults from particle</w:t>
      </w:r>
      <w:r>
        <w:rPr>
          <w:sz w:val="22"/>
          <w:szCs w:val="22"/>
        </w:rPr>
        <w:t xml:space="preserve"> </w:t>
      </w:r>
      <w:r w:rsidR="007A5506" w:rsidRPr="000412A1">
        <w:rPr>
          <w:sz w:val="22"/>
          <w:szCs w:val="22"/>
        </w:rPr>
        <w:t>size analysis are presented in</w:t>
      </w:r>
      <w:r w:rsidR="00CB231F" w:rsidRPr="000412A1">
        <w:rPr>
          <w:sz w:val="22"/>
          <w:szCs w:val="22"/>
        </w:rPr>
        <w:t xml:space="preserve"> </w:t>
      </w:r>
      <w:r w:rsidR="0037723D" w:rsidRPr="000412A1">
        <w:rPr>
          <w:sz w:val="22"/>
          <w:szCs w:val="22"/>
        </w:rPr>
        <w:t xml:space="preserve">Supplementary </w:t>
      </w:r>
      <w:r w:rsidR="008D2DC9" w:rsidRPr="000412A1">
        <w:rPr>
          <w:sz w:val="22"/>
          <w:szCs w:val="22"/>
        </w:rPr>
        <w:t>Fig</w:t>
      </w:r>
      <w:r w:rsidR="0037723D" w:rsidRPr="000412A1">
        <w:rPr>
          <w:sz w:val="22"/>
          <w:szCs w:val="22"/>
        </w:rPr>
        <w:t>ure</w:t>
      </w:r>
      <w:r w:rsidR="008D2DC9" w:rsidRPr="000412A1">
        <w:rPr>
          <w:sz w:val="22"/>
          <w:szCs w:val="22"/>
        </w:rPr>
        <w:t xml:space="preserve"> S2a</w:t>
      </w:r>
      <w:r w:rsidR="0037723D" w:rsidRPr="000412A1">
        <w:rPr>
          <w:sz w:val="22"/>
          <w:szCs w:val="22"/>
        </w:rPr>
        <w:t>,</w:t>
      </w:r>
      <w:r w:rsidR="008D2DC9" w:rsidRPr="000412A1">
        <w:rPr>
          <w:sz w:val="22"/>
          <w:szCs w:val="22"/>
        </w:rPr>
        <w:t>b</w:t>
      </w:r>
      <w:r w:rsidR="00CB231F" w:rsidRPr="000412A1">
        <w:rPr>
          <w:sz w:val="22"/>
          <w:szCs w:val="22"/>
        </w:rPr>
        <w:t>.</w:t>
      </w:r>
      <w:r w:rsidR="00A6210F" w:rsidRPr="000412A1">
        <w:rPr>
          <w:sz w:val="22"/>
          <w:szCs w:val="22"/>
        </w:rPr>
        <w:t xml:space="preserve"> </w:t>
      </w:r>
      <w:r w:rsidR="0037723D" w:rsidRPr="000412A1">
        <w:rPr>
          <w:sz w:val="22"/>
          <w:szCs w:val="22"/>
        </w:rPr>
        <w:t>A</w:t>
      </w:r>
      <w:r w:rsidR="00B852AD" w:rsidRPr="000412A1">
        <w:rPr>
          <w:sz w:val="22"/>
          <w:szCs w:val="22"/>
        </w:rPr>
        <w:t xml:space="preserve">nalysis of the </w:t>
      </w:r>
      <w:r w:rsidR="008D22D5" w:rsidRPr="000412A1">
        <w:rPr>
          <w:sz w:val="22"/>
          <w:szCs w:val="22"/>
        </w:rPr>
        <w:t xml:space="preserve">digestate sample </w:t>
      </w:r>
      <w:r w:rsidR="00F3780A" w:rsidRPr="000412A1">
        <w:rPr>
          <w:sz w:val="22"/>
          <w:szCs w:val="22"/>
        </w:rPr>
        <w:t xml:space="preserve">showed a </w:t>
      </w:r>
      <w:r w:rsidR="007A5506" w:rsidRPr="000412A1">
        <w:rPr>
          <w:sz w:val="22"/>
          <w:szCs w:val="22"/>
        </w:rPr>
        <w:t xml:space="preserve">main peak at around </w:t>
      </w:r>
      <w:r w:rsidR="00A6210F" w:rsidRPr="000412A1">
        <w:rPr>
          <w:sz w:val="22"/>
          <w:szCs w:val="22"/>
        </w:rPr>
        <w:t>30</w:t>
      </w:r>
      <w:r w:rsidR="007A5506" w:rsidRPr="000412A1">
        <w:rPr>
          <w:sz w:val="22"/>
          <w:szCs w:val="22"/>
        </w:rPr>
        <w:t>µm</w:t>
      </w:r>
      <w:r w:rsidR="008D22D5" w:rsidRPr="000412A1">
        <w:rPr>
          <w:sz w:val="22"/>
          <w:szCs w:val="22"/>
        </w:rPr>
        <w:t>,</w:t>
      </w:r>
      <w:r w:rsidR="007A5506" w:rsidRPr="000412A1">
        <w:rPr>
          <w:sz w:val="22"/>
          <w:szCs w:val="22"/>
        </w:rPr>
        <w:t xml:space="preserve"> and</w:t>
      </w:r>
      <w:r w:rsidR="004D3889" w:rsidRPr="000412A1">
        <w:rPr>
          <w:sz w:val="22"/>
          <w:szCs w:val="22"/>
        </w:rPr>
        <w:t xml:space="preserve"> two lower peaks at approximately 200 and </w:t>
      </w:r>
      <w:r w:rsidR="008D22D5" w:rsidRPr="000412A1">
        <w:rPr>
          <w:sz w:val="22"/>
          <w:szCs w:val="22"/>
        </w:rPr>
        <w:t>500</w:t>
      </w:r>
      <w:r w:rsidR="004D3889" w:rsidRPr="000412A1">
        <w:rPr>
          <w:sz w:val="22"/>
          <w:szCs w:val="22"/>
        </w:rPr>
        <w:t xml:space="preserve"> µm</w:t>
      </w:r>
      <w:r w:rsidR="004D3889" w:rsidRPr="000412A1" w:rsidDel="00E53665">
        <w:rPr>
          <w:sz w:val="22"/>
          <w:szCs w:val="22"/>
        </w:rPr>
        <w:t xml:space="preserve"> </w:t>
      </w:r>
      <w:r w:rsidR="004D3889" w:rsidRPr="000412A1">
        <w:rPr>
          <w:sz w:val="22"/>
          <w:szCs w:val="22"/>
        </w:rPr>
        <w:t xml:space="preserve">with a </w:t>
      </w:r>
      <w:r w:rsidR="00A6210F" w:rsidRPr="000412A1">
        <w:rPr>
          <w:sz w:val="22"/>
          <w:szCs w:val="22"/>
        </w:rPr>
        <w:t xml:space="preserve">dispersion of </w:t>
      </w:r>
      <w:r w:rsidR="004D3889" w:rsidRPr="000412A1">
        <w:rPr>
          <w:sz w:val="22"/>
          <w:szCs w:val="22"/>
        </w:rPr>
        <w:t>larger</w:t>
      </w:r>
      <w:r w:rsidR="00FD7C26">
        <w:rPr>
          <w:sz w:val="22"/>
          <w:szCs w:val="22"/>
        </w:rPr>
        <w:t>-</w:t>
      </w:r>
      <w:r w:rsidR="004D3889" w:rsidRPr="000412A1">
        <w:rPr>
          <w:sz w:val="22"/>
          <w:szCs w:val="22"/>
        </w:rPr>
        <w:t xml:space="preserve">diameter </w:t>
      </w:r>
      <w:r w:rsidR="00A6210F" w:rsidRPr="000412A1">
        <w:rPr>
          <w:sz w:val="22"/>
          <w:szCs w:val="22"/>
        </w:rPr>
        <w:t>particles</w:t>
      </w:r>
      <w:r w:rsidR="007A5506" w:rsidRPr="000412A1">
        <w:rPr>
          <w:sz w:val="22"/>
          <w:szCs w:val="22"/>
        </w:rPr>
        <w:t xml:space="preserve">, which may be </w:t>
      </w:r>
      <w:r w:rsidR="00A6210F" w:rsidRPr="000412A1">
        <w:rPr>
          <w:sz w:val="22"/>
          <w:szCs w:val="22"/>
        </w:rPr>
        <w:t>explain</w:t>
      </w:r>
      <w:r w:rsidR="002F1467" w:rsidRPr="000412A1">
        <w:rPr>
          <w:sz w:val="22"/>
          <w:szCs w:val="22"/>
        </w:rPr>
        <w:t>ed</w:t>
      </w:r>
      <w:r w:rsidR="00A6210F" w:rsidRPr="000412A1">
        <w:rPr>
          <w:sz w:val="22"/>
          <w:szCs w:val="22"/>
        </w:rPr>
        <w:t xml:space="preserve"> by the presence</w:t>
      </w:r>
      <w:r w:rsidR="000A68D7" w:rsidRPr="000412A1">
        <w:rPr>
          <w:sz w:val="22"/>
          <w:szCs w:val="22"/>
        </w:rPr>
        <w:t xml:space="preserve"> </w:t>
      </w:r>
      <w:r w:rsidR="00C72A43" w:rsidRPr="000412A1">
        <w:rPr>
          <w:sz w:val="22"/>
          <w:szCs w:val="22"/>
        </w:rPr>
        <w:t xml:space="preserve">of aggregates </w:t>
      </w:r>
      <w:r w:rsidR="000A68D7" w:rsidRPr="000412A1">
        <w:rPr>
          <w:sz w:val="22"/>
          <w:szCs w:val="22"/>
        </w:rPr>
        <w:t>(</w:t>
      </w:r>
      <w:r w:rsidR="00FD7C26">
        <w:rPr>
          <w:sz w:val="22"/>
          <w:szCs w:val="22"/>
        </w:rPr>
        <w:t>S</w:t>
      </w:r>
      <w:r w:rsidR="00B852AD" w:rsidRPr="000412A1">
        <w:rPr>
          <w:sz w:val="22"/>
          <w:szCs w:val="22"/>
        </w:rPr>
        <w:t>upplementary</w:t>
      </w:r>
      <w:r w:rsidR="008D2DC9" w:rsidRPr="000412A1">
        <w:rPr>
          <w:sz w:val="22"/>
          <w:szCs w:val="22"/>
        </w:rPr>
        <w:t xml:space="preserve"> </w:t>
      </w:r>
      <w:r w:rsidR="000A68D7" w:rsidRPr="000412A1">
        <w:rPr>
          <w:sz w:val="22"/>
          <w:szCs w:val="22"/>
        </w:rPr>
        <w:t>Fig</w:t>
      </w:r>
      <w:r w:rsidR="00FD7C26">
        <w:rPr>
          <w:sz w:val="22"/>
          <w:szCs w:val="22"/>
        </w:rPr>
        <w:t>ure</w:t>
      </w:r>
      <w:r w:rsidR="00A91B08" w:rsidRPr="000412A1">
        <w:rPr>
          <w:sz w:val="22"/>
          <w:szCs w:val="22"/>
        </w:rPr>
        <w:t xml:space="preserve"> </w:t>
      </w:r>
      <w:r w:rsidR="008D2DC9" w:rsidRPr="000412A1">
        <w:rPr>
          <w:sz w:val="22"/>
          <w:szCs w:val="22"/>
        </w:rPr>
        <w:t>S2a</w:t>
      </w:r>
      <w:r w:rsidR="000A68D7" w:rsidRPr="000412A1">
        <w:rPr>
          <w:sz w:val="22"/>
          <w:szCs w:val="22"/>
        </w:rPr>
        <w:t>)</w:t>
      </w:r>
      <w:r w:rsidR="007A5506" w:rsidRPr="000412A1">
        <w:rPr>
          <w:sz w:val="22"/>
          <w:szCs w:val="22"/>
        </w:rPr>
        <w:t xml:space="preserve">. </w:t>
      </w:r>
      <w:r w:rsidR="008D22D5" w:rsidRPr="000412A1">
        <w:rPr>
          <w:sz w:val="22"/>
          <w:szCs w:val="22"/>
        </w:rPr>
        <w:t>Post-treated samples displayed a similar main peak</w:t>
      </w:r>
      <w:r w:rsidR="00FD7C26">
        <w:rPr>
          <w:sz w:val="22"/>
          <w:szCs w:val="22"/>
        </w:rPr>
        <w:t xml:space="preserve"> of</w:t>
      </w:r>
      <w:r w:rsidR="008D22D5" w:rsidRPr="000412A1">
        <w:rPr>
          <w:sz w:val="22"/>
          <w:szCs w:val="22"/>
        </w:rPr>
        <w:t xml:space="preserve"> 30</w:t>
      </w:r>
      <w:r w:rsidR="00FD7C26">
        <w:rPr>
          <w:sz w:val="22"/>
          <w:szCs w:val="22"/>
        </w:rPr>
        <w:t xml:space="preserve"> </w:t>
      </w:r>
      <w:proofErr w:type="spellStart"/>
      <w:r w:rsidR="008D22D5" w:rsidRPr="000412A1">
        <w:rPr>
          <w:sz w:val="22"/>
          <w:szCs w:val="22"/>
        </w:rPr>
        <w:t>μm</w:t>
      </w:r>
      <w:proofErr w:type="spellEnd"/>
      <w:r w:rsidR="00FD7C26">
        <w:rPr>
          <w:sz w:val="22"/>
          <w:szCs w:val="22"/>
        </w:rPr>
        <w:t xml:space="preserve">, </w:t>
      </w:r>
      <w:commentRangeStart w:id="9"/>
      <w:r w:rsidR="00BA5ED0" w:rsidRPr="000412A1">
        <w:rPr>
          <w:sz w:val="22"/>
          <w:szCs w:val="22"/>
        </w:rPr>
        <w:t xml:space="preserve">but did not show any longer peak </w:t>
      </w:r>
      <w:r w:rsidR="00B852AD" w:rsidRPr="000412A1">
        <w:rPr>
          <w:sz w:val="22"/>
          <w:szCs w:val="22"/>
        </w:rPr>
        <w:t>centred</w:t>
      </w:r>
      <w:r w:rsidR="00BA5ED0" w:rsidRPr="000412A1">
        <w:rPr>
          <w:sz w:val="22"/>
          <w:szCs w:val="22"/>
        </w:rPr>
        <w:t xml:space="preserve"> at 500 µm</w:t>
      </w:r>
      <w:r w:rsidR="00FD7C26">
        <w:rPr>
          <w:sz w:val="22"/>
          <w:szCs w:val="22"/>
        </w:rPr>
        <w:t xml:space="preserve"> except</w:t>
      </w:r>
      <w:r w:rsidR="00420135" w:rsidRPr="000412A1">
        <w:rPr>
          <w:sz w:val="22"/>
          <w:szCs w:val="22"/>
        </w:rPr>
        <w:t xml:space="preserve"> </w:t>
      </w:r>
      <w:r w:rsidR="00BA5ED0" w:rsidRPr="000412A1">
        <w:rPr>
          <w:sz w:val="22"/>
          <w:szCs w:val="22"/>
        </w:rPr>
        <w:t>for the P1 treatment</w:t>
      </w:r>
      <w:r w:rsidR="00FD7C26">
        <w:rPr>
          <w:sz w:val="22"/>
          <w:szCs w:val="22"/>
        </w:rPr>
        <w:t>, which</w:t>
      </w:r>
      <w:r w:rsidR="00BA5ED0" w:rsidRPr="000412A1">
        <w:rPr>
          <w:sz w:val="22"/>
          <w:szCs w:val="22"/>
        </w:rPr>
        <w:t xml:space="preserve"> maintained the 200</w:t>
      </w:r>
      <w:r w:rsidR="00403422" w:rsidRPr="000412A1">
        <w:rPr>
          <w:sz w:val="22"/>
          <w:szCs w:val="22"/>
        </w:rPr>
        <w:t xml:space="preserve"> </w:t>
      </w:r>
      <w:proofErr w:type="spellStart"/>
      <w:r w:rsidR="00BA5ED0" w:rsidRPr="000412A1">
        <w:rPr>
          <w:sz w:val="22"/>
          <w:szCs w:val="22"/>
        </w:rPr>
        <w:t>μm</w:t>
      </w:r>
      <w:proofErr w:type="spellEnd"/>
      <w:r w:rsidR="00BA5ED0" w:rsidRPr="000412A1">
        <w:rPr>
          <w:sz w:val="22"/>
          <w:szCs w:val="22"/>
        </w:rPr>
        <w:t xml:space="preserve"> peak (</w:t>
      </w:r>
      <w:r w:rsidR="00FD7C26">
        <w:rPr>
          <w:sz w:val="22"/>
          <w:szCs w:val="22"/>
        </w:rPr>
        <w:t>S</w:t>
      </w:r>
      <w:r w:rsidR="00B852AD" w:rsidRPr="000412A1">
        <w:rPr>
          <w:sz w:val="22"/>
          <w:szCs w:val="22"/>
        </w:rPr>
        <w:t>upplementary</w:t>
      </w:r>
      <w:r w:rsidR="008D2DC9" w:rsidRPr="000412A1">
        <w:rPr>
          <w:sz w:val="22"/>
          <w:szCs w:val="22"/>
        </w:rPr>
        <w:t xml:space="preserve"> </w:t>
      </w:r>
      <w:r w:rsidR="00BA5ED0" w:rsidRPr="000412A1">
        <w:rPr>
          <w:sz w:val="22"/>
          <w:szCs w:val="22"/>
        </w:rPr>
        <w:t>Fig</w:t>
      </w:r>
      <w:r w:rsidR="00FD7C26">
        <w:rPr>
          <w:sz w:val="22"/>
          <w:szCs w:val="22"/>
        </w:rPr>
        <w:t>ure</w:t>
      </w:r>
      <w:r w:rsidR="00A91B08" w:rsidRPr="000412A1">
        <w:rPr>
          <w:sz w:val="22"/>
          <w:szCs w:val="22"/>
        </w:rPr>
        <w:t xml:space="preserve"> </w:t>
      </w:r>
      <w:r w:rsidR="008D2DC9" w:rsidRPr="000412A1">
        <w:rPr>
          <w:sz w:val="22"/>
          <w:szCs w:val="22"/>
        </w:rPr>
        <w:t>S2</w:t>
      </w:r>
      <w:r w:rsidR="00BA5ED0" w:rsidRPr="000412A1">
        <w:rPr>
          <w:sz w:val="22"/>
          <w:szCs w:val="22"/>
        </w:rPr>
        <w:t xml:space="preserve">b). </w:t>
      </w:r>
      <w:commentRangeEnd w:id="9"/>
      <w:r w:rsidR="00FD7C26">
        <w:rPr>
          <w:rStyle w:val="Refdecomentario"/>
        </w:rPr>
        <w:commentReference w:id="9"/>
      </w:r>
      <w:r w:rsidR="00BA5ED0" w:rsidRPr="000412A1">
        <w:rPr>
          <w:sz w:val="22"/>
          <w:szCs w:val="22"/>
        </w:rPr>
        <w:t>All of the post-treated samples presented similar distributions</w:t>
      </w:r>
      <w:r w:rsidR="00FD7C26">
        <w:rPr>
          <w:sz w:val="22"/>
          <w:szCs w:val="22"/>
        </w:rPr>
        <w:t>,</w:t>
      </w:r>
      <w:r w:rsidR="00BA5ED0" w:rsidRPr="000412A1">
        <w:rPr>
          <w:sz w:val="22"/>
          <w:szCs w:val="22"/>
        </w:rPr>
        <w:t xml:space="preserve"> with a small shift to the left in the area of the main peak (regarding </w:t>
      </w:r>
      <w:r w:rsidR="00260F40" w:rsidRPr="000412A1">
        <w:rPr>
          <w:sz w:val="22"/>
          <w:szCs w:val="22"/>
        </w:rPr>
        <w:t>particle</w:t>
      </w:r>
      <w:r w:rsidR="004B6B56">
        <w:rPr>
          <w:sz w:val="22"/>
          <w:szCs w:val="22"/>
        </w:rPr>
        <w:t xml:space="preserve"> </w:t>
      </w:r>
      <w:r w:rsidR="00260F40" w:rsidRPr="000412A1">
        <w:rPr>
          <w:sz w:val="22"/>
          <w:szCs w:val="22"/>
        </w:rPr>
        <w:t xml:space="preserve">diameter </w:t>
      </w:r>
      <w:r w:rsidR="00BA5ED0" w:rsidRPr="000412A1">
        <w:rPr>
          <w:sz w:val="22"/>
          <w:szCs w:val="22"/>
        </w:rPr>
        <w:t>scale).</w:t>
      </w:r>
    </w:p>
    <w:p w14:paraId="4063548B" w14:textId="77777777" w:rsidR="002F1467" w:rsidRPr="000412A1" w:rsidRDefault="002F1467" w:rsidP="007A5506">
      <w:pPr>
        <w:spacing w:line="480" w:lineRule="auto"/>
        <w:rPr>
          <w:sz w:val="22"/>
          <w:szCs w:val="22"/>
        </w:rPr>
      </w:pPr>
    </w:p>
    <w:p w14:paraId="0BDE9D42" w14:textId="0E2CF03F" w:rsidR="00CB231F" w:rsidRPr="000412A1" w:rsidRDefault="00FD7C26" w:rsidP="00CB231F">
      <w:pPr>
        <w:spacing w:line="480" w:lineRule="auto"/>
        <w:rPr>
          <w:sz w:val="22"/>
          <w:szCs w:val="22"/>
        </w:rPr>
      </w:pPr>
      <w:r>
        <w:rPr>
          <w:sz w:val="22"/>
          <w:szCs w:val="22"/>
        </w:rPr>
        <w:t xml:space="preserve">The </w:t>
      </w:r>
      <w:r w:rsidR="005E2CFE" w:rsidRPr="000412A1">
        <w:rPr>
          <w:sz w:val="22"/>
          <w:szCs w:val="22"/>
        </w:rPr>
        <w:t>P4</w:t>
      </w:r>
      <w:r w:rsidR="00153E7D" w:rsidRPr="000412A1">
        <w:rPr>
          <w:sz w:val="22"/>
          <w:szCs w:val="22"/>
        </w:rPr>
        <w:t xml:space="preserve"> </w:t>
      </w:r>
      <w:r w:rsidR="000A68D7" w:rsidRPr="000412A1">
        <w:rPr>
          <w:sz w:val="22"/>
          <w:szCs w:val="22"/>
        </w:rPr>
        <w:t>(high</w:t>
      </w:r>
      <w:r w:rsidR="005E2CFE" w:rsidRPr="000412A1">
        <w:rPr>
          <w:sz w:val="22"/>
          <w:szCs w:val="22"/>
        </w:rPr>
        <w:t>est applied</w:t>
      </w:r>
      <w:r w:rsidR="000A68D7" w:rsidRPr="000412A1">
        <w:rPr>
          <w:sz w:val="22"/>
          <w:szCs w:val="22"/>
        </w:rPr>
        <w:t xml:space="preserve"> current density) and </w:t>
      </w:r>
      <w:r w:rsidR="00153E7D" w:rsidRPr="000412A1">
        <w:rPr>
          <w:sz w:val="22"/>
          <w:szCs w:val="22"/>
        </w:rPr>
        <w:t xml:space="preserve">P5 </w:t>
      </w:r>
      <w:r w:rsidR="000A68D7" w:rsidRPr="000412A1">
        <w:rPr>
          <w:sz w:val="22"/>
          <w:szCs w:val="22"/>
        </w:rPr>
        <w:t>(</w:t>
      </w:r>
      <w:r w:rsidR="00153E7D" w:rsidRPr="000412A1">
        <w:rPr>
          <w:sz w:val="22"/>
          <w:szCs w:val="22"/>
        </w:rPr>
        <w:t>maxim</w:t>
      </w:r>
      <w:r>
        <w:rPr>
          <w:sz w:val="22"/>
          <w:szCs w:val="22"/>
        </w:rPr>
        <w:t>al</w:t>
      </w:r>
      <w:r w:rsidR="00153E7D" w:rsidRPr="000412A1">
        <w:rPr>
          <w:sz w:val="22"/>
          <w:szCs w:val="22"/>
        </w:rPr>
        <w:t xml:space="preserve"> </w:t>
      </w:r>
      <w:r w:rsidR="005E2CFE" w:rsidRPr="000412A1">
        <w:rPr>
          <w:sz w:val="22"/>
          <w:szCs w:val="22"/>
        </w:rPr>
        <w:t>e</w:t>
      </w:r>
      <w:r w:rsidR="00153E7D" w:rsidRPr="000412A1">
        <w:rPr>
          <w:sz w:val="22"/>
          <w:szCs w:val="22"/>
        </w:rPr>
        <w:t>lectr</w:t>
      </w:r>
      <w:r w:rsidR="001E7DCA" w:rsidRPr="000412A1">
        <w:rPr>
          <w:sz w:val="22"/>
          <w:szCs w:val="22"/>
        </w:rPr>
        <w:t>o-o</w:t>
      </w:r>
      <w:r w:rsidR="00153E7D" w:rsidRPr="000412A1">
        <w:rPr>
          <w:sz w:val="22"/>
          <w:szCs w:val="22"/>
        </w:rPr>
        <w:t>xidation</w:t>
      </w:r>
      <w:r w:rsidRPr="00FD7C26">
        <w:rPr>
          <w:sz w:val="22"/>
          <w:szCs w:val="22"/>
        </w:rPr>
        <w:t xml:space="preserve"> </w:t>
      </w:r>
      <w:r w:rsidRPr="000412A1">
        <w:rPr>
          <w:sz w:val="22"/>
          <w:szCs w:val="22"/>
        </w:rPr>
        <w:t>duration</w:t>
      </w:r>
      <w:r w:rsidR="000A68D7" w:rsidRPr="000412A1">
        <w:rPr>
          <w:sz w:val="22"/>
          <w:szCs w:val="22"/>
        </w:rPr>
        <w:t xml:space="preserve">) </w:t>
      </w:r>
      <w:r w:rsidRPr="000412A1">
        <w:rPr>
          <w:sz w:val="22"/>
          <w:szCs w:val="22"/>
        </w:rPr>
        <w:t>post-treatment</w:t>
      </w:r>
      <w:r>
        <w:rPr>
          <w:sz w:val="22"/>
          <w:szCs w:val="22"/>
        </w:rPr>
        <w:t>s</w:t>
      </w:r>
      <w:r w:rsidRPr="000412A1">
        <w:rPr>
          <w:sz w:val="22"/>
          <w:szCs w:val="22"/>
        </w:rPr>
        <w:t xml:space="preserve"> </w:t>
      </w:r>
      <w:r>
        <w:rPr>
          <w:sz w:val="22"/>
          <w:szCs w:val="22"/>
        </w:rPr>
        <w:t>r</w:t>
      </w:r>
      <w:r w:rsidR="00A348AA" w:rsidRPr="000412A1">
        <w:rPr>
          <w:sz w:val="22"/>
          <w:szCs w:val="22"/>
        </w:rPr>
        <w:t>esulted in</w:t>
      </w:r>
      <w:r w:rsidR="00B66046" w:rsidRPr="000412A1">
        <w:rPr>
          <w:sz w:val="22"/>
          <w:szCs w:val="22"/>
        </w:rPr>
        <w:t xml:space="preserve"> </w:t>
      </w:r>
      <w:r w:rsidR="00A348AA" w:rsidRPr="000412A1">
        <w:rPr>
          <w:sz w:val="22"/>
          <w:szCs w:val="22"/>
        </w:rPr>
        <w:t>smaller</w:t>
      </w:r>
      <w:r>
        <w:rPr>
          <w:sz w:val="22"/>
          <w:szCs w:val="22"/>
        </w:rPr>
        <w:t>-</w:t>
      </w:r>
      <w:r w:rsidR="00A348AA" w:rsidRPr="000412A1">
        <w:rPr>
          <w:sz w:val="22"/>
          <w:szCs w:val="22"/>
        </w:rPr>
        <w:t>size</w:t>
      </w:r>
      <w:r w:rsidR="004B6B56">
        <w:rPr>
          <w:sz w:val="22"/>
          <w:szCs w:val="22"/>
        </w:rPr>
        <w:t>d</w:t>
      </w:r>
      <w:r w:rsidRPr="00FD7C26">
        <w:rPr>
          <w:sz w:val="22"/>
          <w:szCs w:val="22"/>
        </w:rPr>
        <w:t xml:space="preserve"> </w:t>
      </w:r>
      <w:r w:rsidRPr="000412A1">
        <w:rPr>
          <w:sz w:val="22"/>
          <w:szCs w:val="22"/>
        </w:rPr>
        <w:t>particles</w:t>
      </w:r>
      <w:r w:rsidR="00C72A43" w:rsidRPr="000412A1">
        <w:rPr>
          <w:sz w:val="22"/>
          <w:szCs w:val="22"/>
        </w:rPr>
        <w:t xml:space="preserve">. This is </w:t>
      </w:r>
      <w:r w:rsidR="005E2CFE" w:rsidRPr="000412A1">
        <w:rPr>
          <w:sz w:val="22"/>
          <w:szCs w:val="22"/>
        </w:rPr>
        <w:t xml:space="preserve">highlighted </w:t>
      </w:r>
      <w:r w:rsidR="000A68D7" w:rsidRPr="000412A1">
        <w:rPr>
          <w:sz w:val="22"/>
          <w:szCs w:val="22"/>
        </w:rPr>
        <w:t>by</w:t>
      </w:r>
      <w:r w:rsidR="00CB4EEF" w:rsidRPr="000412A1">
        <w:rPr>
          <w:sz w:val="22"/>
          <w:szCs w:val="22"/>
        </w:rPr>
        <w:t xml:space="preserve"> </w:t>
      </w:r>
      <w:r w:rsidR="00C72A43" w:rsidRPr="000412A1">
        <w:rPr>
          <w:sz w:val="22"/>
          <w:szCs w:val="22"/>
        </w:rPr>
        <w:t xml:space="preserve">the </w:t>
      </w:r>
      <w:r w:rsidR="00153E7D" w:rsidRPr="000412A1">
        <w:rPr>
          <w:sz w:val="22"/>
          <w:szCs w:val="22"/>
        </w:rPr>
        <w:t>lower value</w:t>
      </w:r>
      <w:r w:rsidR="000A68D7" w:rsidRPr="000412A1">
        <w:rPr>
          <w:sz w:val="22"/>
          <w:szCs w:val="22"/>
        </w:rPr>
        <w:t>s</w:t>
      </w:r>
      <w:r w:rsidR="00153E7D" w:rsidRPr="000412A1">
        <w:rPr>
          <w:sz w:val="22"/>
          <w:szCs w:val="22"/>
        </w:rPr>
        <w:t xml:space="preserve"> </w:t>
      </w:r>
      <w:r w:rsidR="000A68D7" w:rsidRPr="000412A1">
        <w:rPr>
          <w:sz w:val="22"/>
          <w:szCs w:val="22"/>
        </w:rPr>
        <w:t xml:space="preserve">of </w:t>
      </w:r>
      <w:r w:rsidR="00153E7D" w:rsidRPr="000412A1">
        <w:rPr>
          <w:sz w:val="22"/>
          <w:szCs w:val="22"/>
        </w:rPr>
        <w:t xml:space="preserve">the </w:t>
      </w:r>
      <w:r w:rsidR="00617238" w:rsidRPr="000412A1">
        <w:rPr>
          <w:sz w:val="22"/>
          <w:szCs w:val="22"/>
        </w:rPr>
        <w:lastRenderedPageBreak/>
        <w:t xml:space="preserve">mean </w:t>
      </w:r>
      <w:r w:rsidR="000A68D7" w:rsidRPr="000412A1">
        <w:rPr>
          <w:sz w:val="22"/>
          <w:szCs w:val="22"/>
        </w:rPr>
        <w:t>particle</w:t>
      </w:r>
      <w:r w:rsidR="004B6B56">
        <w:rPr>
          <w:sz w:val="22"/>
          <w:szCs w:val="22"/>
        </w:rPr>
        <w:t xml:space="preserve"> </w:t>
      </w:r>
      <w:r w:rsidR="000A68D7" w:rsidRPr="000412A1">
        <w:rPr>
          <w:sz w:val="22"/>
          <w:szCs w:val="22"/>
        </w:rPr>
        <w:t>size</w:t>
      </w:r>
      <w:r w:rsidR="00153E7D" w:rsidRPr="000412A1">
        <w:rPr>
          <w:sz w:val="22"/>
          <w:szCs w:val="22"/>
        </w:rPr>
        <w:t xml:space="preserve"> parameter</w:t>
      </w:r>
      <w:r w:rsidR="00C72A43" w:rsidRPr="000412A1">
        <w:rPr>
          <w:sz w:val="22"/>
          <w:szCs w:val="22"/>
        </w:rPr>
        <w:t xml:space="preserve"> </w:t>
      </w:r>
      <w:r w:rsidR="00CB231F" w:rsidRPr="000412A1">
        <w:rPr>
          <w:sz w:val="22"/>
          <w:szCs w:val="22"/>
        </w:rPr>
        <w:t>(Table 4)</w:t>
      </w:r>
      <w:r w:rsidR="000A68D7" w:rsidRPr="000412A1">
        <w:rPr>
          <w:sz w:val="22"/>
          <w:szCs w:val="22"/>
        </w:rPr>
        <w:t>.</w:t>
      </w:r>
      <w:r w:rsidR="00CB4EEF" w:rsidRPr="000412A1">
        <w:rPr>
          <w:sz w:val="22"/>
          <w:szCs w:val="22"/>
        </w:rPr>
        <w:t xml:space="preserve"> </w:t>
      </w:r>
      <w:r w:rsidR="00CB231F" w:rsidRPr="000412A1">
        <w:rPr>
          <w:sz w:val="22"/>
          <w:szCs w:val="22"/>
        </w:rPr>
        <w:t xml:space="preserve">Table 4 </w:t>
      </w:r>
      <w:r w:rsidR="00C72A43" w:rsidRPr="000412A1">
        <w:rPr>
          <w:sz w:val="22"/>
          <w:szCs w:val="22"/>
        </w:rPr>
        <w:t xml:space="preserve">also </w:t>
      </w:r>
      <w:r w:rsidR="00CA7D78" w:rsidRPr="000412A1">
        <w:rPr>
          <w:sz w:val="22"/>
          <w:szCs w:val="22"/>
        </w:rPr>
        <w:t xml:space="preserve">contains </w:t>
      </w:r>
      <w:r w:rsidR="00A348AA" w:rsidRPr="000412A1">
        <w:rPr>
          <w:sz w:val="22"/>
          <w:szCs w:val="22"/>
        </w:rPr>
        <w:t>other</w:t>
      </w:r>
      <w:r w:rsidR="0002798E" w:rsidRPr="000412A1">
        <w:rPr>
          <w:sz w:val="22"/>
          <w:szCs w:val="22"/>
        </w:rPr>
        <w:t xml:space="preserve"> indicators</w:t>
      </w:r>
      <w:r>
        <w:rPr>
          <w:sz w:val="22"/>
          <w:szCs w:val="22"/>
        </w:rPr>
        <w:t>,</w:t>
      </w:r>
      <w:r w:rsidR="0002798E" w:rsidRPr="000412A1">
        <w:rPr>
          <w:sz w:val="22"/>
          <w:szCs w:val="22"/>
        </w:rPr>
        <w:t xml:space="preserve"> such as</w:t>
      </w:r>
      <w:r w:rsidR="007A5506" w:rsidRPr="000412A1">
        <w:rPr>
          <w:sz w:val="22"/>
          <w:szCs w:val="22"/>
        </w:rPr>
        <w:t xml:space="preserve"> </w:t>
      </w:r>
      <w:r w:rsidR="00F87AA4" w:rsidRPr="000412A1">
        <w:rPr>
          <w:sz w:val="22"/>
          <w:szCs w:val="22"/>
        </w:rPr>
        <w:t xml:space="preserve">the </w:t>
      </w:r>
      <w:r w:rsidR="00CB4EEF" w:rsidRPr="000412A1">
        <w:rPr>
          <w:sz w:val="22"/>
          <w:szCs w:val="22"/>
        </w:rPr>
        <w:t xml:space="preserve">median </w:t>
      </w:r>
      <w:r w:rsidR="0056621D" w:rsidRPr="000412A1">
        <w:rPr>
          <w:sz w:val="22"/>
          <w:szCs w:val="22"/>
        </w:rPr>
        <w:t xml:space="preserve">value of </w:t>
      </w:r>
      <w:r w:rsidR="00CB4EEF" w:rsidRPr="000412A1">
        <w:rPr>
          <w:sz w:val="22"/>
          <w:szCs w:val="22"/>
        </w:rPr>
        <w:t>par</w:t>
      </w:r>
      <w:r w:rsidR="0002798E" w:rsidRPr="000412A1">
        <w:rPr>
          <w:sz w:val="22"/>
          <w:szCs w:val="22"/>
        </w:rPr>
        <w:t>ticle</w:t>
      </w:r>
      <w:r w:rsidR="00B064A7">
        <w:rPr>
          <w:sz w:val="22"/>
          <w:szCs w:val="22"/>
        </w:rPr>
        <w:t xml:space="preserve"> </w:t>
      </w:r>
      <w:r w:rsidR="0002798E" w:rsidRPr="000412A1">
        <w:rPr>
          <w:sz w:val="22"/>
          <w:szCs w:val="22"/>
        </w:rPr>
        <w:t>size</w:t>
      </w:r>
      <w:r w:rsidR="0056621D" w:rsidRPr="000412A1">
        <w:rPr>
          <w:sz w:val="22"/>
          <w:szCs w:val="22"/>
        </w:rPr>
        <w:t xml:space="preserve"> distribution</w:t>
      </w:r>
      <w:r w:rsidR="0002798E" w:rsidRPr="000412A1">
        <w:rPr>
          <w:sz w:val="22"/>
          <w:szCs w:val="22"/>
        </w:rPr>
        <w:t xml:space="preserve"> and</w:t>
      </w:r>
      <w:r w:rsidR="00CB4EEF" w:rsidRPr="000412A1">
        <w:rPr>
          <w:sz w:val="22"/>
          <w:szCs w:val="22"/>
        </w:rPr>
        <w:t xml:space="preserve"> </w:t>
      </w:r>
      <w:r w:rsidR="007A5506" w:rsidRPr="000412A1">
        <w:rPr>
          <w:sz w:val="22"/>
          <w:szCs w:val="22"/>
        </w:rPr>
        <w:t>specific surface area (SSA)</w:t>
      </w:r>
      <w:r w:rsidR="00CB4EEF" w:rsidRPr="000412A1">
        <w:rPr>
          <w:sz w:val="22"/>
          <w:szCs w:val="22"/>
        </w:rPr>
        <w:t xml:space="preserve">. </w:t>
      </w:r>
      <w:r w:rsidR="005E2CFE" w:rsidRPr="000412A1">
        <w:rPr>
          <w:sz w:val="22"/>
          <w:szCs w:val="22"/>
        </w:rPr>
        <w:t>P</w:t>
      </w:r>
      <w:r w:rsidR="00CB4EEF" w:rsidRPr="000412A1">
        <w:rPr>
          <w:sz w:val="22"/>
          <w:szCs w:val="22"/>
        </w:rPr>
        <w:t>ost-treatment</w:t>
      </w:r>
      <w:r w:rsidR="005E2CFE" w:rsidRPr="000412A1">
        <w:rPr>
          <w:sz w:val="22"/>
          <w:szCs w:val="22"/>
        </w:rPr>
        <w:t xml:space="preserve"> electr</w:t>
      </w:r>
      <w:r w:rsidR="001E7DCA" w:rsidRPr="000412A1">
        <w:rPr>
          <w:sz w:val="22"/>
          <w:szCs w:val="22"/>
        </w:rPr>
        <w:t>o-o</w:t>
      </w:r>
      <w:r w:rsidR="005E2CFE" w:rsidRPr="000412A1">
        <w:rPr>
          <w:sz w:val="22"/>
          <w:szCs w:val="22"/>
        </w:rPr>
        <w:t>xidation</w:t>
      </w:r>
      <w:r w:rsidR="00CB4EEF" w:rsidRPr="000412A1">
        <w:rPr>
          <w:sz w:val="22"/>
          <w:szCs w:val="22"/>
        </w:rPr>
        <w:t xml:space="preserve"> </w:t>
      </w:r>
      <w:r w:rsidR="00CA7D78" w:rsidRPr="000412A1">
        <w:rPr>
          <w:sz w:val="22"/>
          <w:szCs w:val="22"/>
        </w:rPr>
        <w:t xml:space="preserve">caused a significant increase </w:t>
      </w:r>
      <w:r w:rsidR="00C72A43" w:rsidRPr="000412A1">
        <w:rPr>
          <w:sz w:val="22"/>
          <w:szCs w:val="22"/>
        </w:rPr>
        <w:t xml:space="preserve">in </w:t>
      </w:r>
      <w:r w:rsidRPr="000412A1">
        <w:rPr>
          <w:sz w:val="22"/>
          <w:szCs w:val="22"/>
        </w:rPr>
        <w:t xml:space="preserve">SSA </w:t>
      </w:r>
      <w:r w:rsidR="00C72A43" w:rsidRPr="000412A1">
        <w:rPr>
          <w:sz w:val="22"/>
          <w:szCs w:val="22"/>
        </w:rPr>
        <w:t>value</w:t>
      </w:r>
      <w:r>
        <w:rPr>
          <w:sz w:val="22"/>
          <w:szCs w:val="22"/>
        </w:rPr>
        <w:t>s</w:t>
      </w:r>
      <w:r w:rsidR="00C72A43" w:rsidRPr="000412A1">
        <w:rPr>
          <w:sz w:val="22"/>
          <w:szCs w:val="22"/>
        </w:rPr>
        <w:t xml:space="preserve"> </w:t>
      </w:r>
      <w:r>
        <w:rPr>
          <w:sz w:val="22"/>
          <w:szCs w:val="22"/>
        </w:rPr>
        <w:t xml:space="preserve">and </w:t>
      </w:r>
      <w:r w:rsidRPr="000412A1">
        <w:rPr>
          <w:sz w:val="22"/>
          <w:szCs w:val="22"/>
        </w:rPr>
        <w:t>a decrease in particle size</w:t>
      </w:r>
      <w:r w:rsidRPr="000412A1" w:rsidDel="00FD7C26">
        <w:rPr>
          <w:sz w:val="22"/>
          <w:szCs w:val="22"/>
        </w:rPr>
        <w:t xml:space="preserve"> </w:t>
      </w:r>
      <w:r w:rsidR="00A348AA" w:rsidRPr="000412A1">
        <w:rPr>
          <w:sz w:val="22"/>
          <w:szCs w:val="22"/>
        </w:rPr>
        <w:t>on all</w:t>
      </w:r>
      <w:r w:rsidR="00CB4EEF" w:rsidRPr="000412A1">
        <w:rPr>
          <w:sz w:val="22"/>
          <w:szCs w:val="22"/>
        </w:rPr>
        <w:t xml:space="preserve"> of the </w:t>
      </w:r>
      <w:r w:rsidR="00CA7D78" w:rsidRPr="000412A1">
        <w:rPr>
          <w:sz w:val="22"/>
          <w:szCs w:val="22"/>
        </w:rPr>
        <w:t xml:space="preserve">tested </w:t>
      </w:r>
      <w:r w:rsidR="00CB4EEF" w:rsidRPr="000412A1">
        <w:rPr>
          <w:sz w:val="22"/>
          <w:szCs w:val="22"/>
        </w:rPr>
        <w:t>conditions</w:t>
      </w:r>
      <w:r>
        <w:rPr>
          <w:sz w:val="22"/>
          <w:szCs w:val="22"/>
        </w:rPr>
        <w:t>,</w:t>
      </w:r>
      <w:r w:rsidR="00CB4EEF" w:rsidRPr="000412A1">
        <w:rPr>
          <w:sz w:val="22"/>
          <w:szCs w:val="22"/>
        </w:rPr>
        <w:t xml:space="preserve"> </w:t>
      </w:r>
      <w:r w:rsidR="00A348AA" w:rsidRPr="000412A1">
        <w:rPr>
          <w:sz w:val="22"/>
          <w:szCs w:val="22"/>
        </w:rPr>
        <w:t>but</w:t>
      </w:r>
      <w:r w:rsidR="0056621D" w:rsidRPr="000412A1">
        <w:rPr>
          <w:sz w:val="22"/>
          <w:szCs w:val="22"/>
        </w:rPr>
        <w:t xml:space="preserve"> it</w:t>
      </w:r>
      <w:r w:rsidR="00A348AA" w:rsidRPr="000412A1">
        <w:rPr>
          <w:sz w:val="22"/>
          <w:szCs w:val="22"/>
        </w:rPr>
        <w:t xml:space="preserve"> seemed </w:t>
      </w:r>
      <w:r w:rsidR="0056621D" w:rsidRPr="000412A1">
        <w:rPr>
          <w:sz w:val="22"/>
          <w:szCs w:val="22"/>
        </w:rPr>
        <w:t>to</w:t>
      </w:r>
      <w:r w:rsidR="00A348AA" w:rsidRPr="000412A1">
        <w:rPr>
          <w:sz w:val="22"/>
          <w:szCs w:val="22"/>
        </w:rPr>
        <w:t xml:space="preserve"> </w:t>
      </w:r>
      <w:r w:rsidRPr="000412A1">
        <w:rPr>
          <w:sz w:val="22"/>
          <w:szCs w:val="22"/>
        </w:rPr>
        <w:t xml:space="preserve">not </w:t>
      </w:r>
      <w:r w:rsidR="00A348AA" w:rsidRPr="000412A1">
        <w:rPr>
          <w:sz w:val="22"/>
          <w:szCs w:val="22"/>
        </w:rPr>
        <w:t>affect</w:t>
      </w:r>
      <w:r w:rsidR="00C06D70" w:rsidRPr="000412A1">
        <w:rPr>
          <w:sz w:val="22"/>
          <w:szCs w:val="22"/>
        </w:rPr>
        <w:t xml:space="preserve"> </w:t>
      </w:r>
      <w:r w:rsidR="00A348AA" w:rsidRPr="000412A1">
        <w:rPr>
          <w:sz w:val="22"/>
          <w:szCs w:val="22"/>
        </w:rPr>
        <w:t>pH and conductivity values</w:t>
      </w:r>
      <w:r w:rsidR="00C06D70" w:rsidRPr="000412A1">
        <w:rPr>
          <w:sz w:val="22"/>
          <w:szCs w:val="22"/>
        </w:rPr>
        <w:t>.</w:t>
      </w:r>
    </w:p>
    <w:p w14:paraId="3E4E614C" w14:textId="77777777" w:rsidR="00EB0815" w:rsidRPr="000412A1" w:rsidRDefault="00EB0815" w:rsidP="00CB231F">
      <w:pPr>
        <w:spacing w:line="480" w:lineRule="auto"/>
        <w:rPr>
          <w:sz w:val="22"/>
          <w:szCs w:val="22"/>
        </w:rPr>
      </w:pPr>
    </w:p>
    <w:p w14:paraId="415EC2C7" w14:textId="6D09649F" w:rsidR="00203457" w:rsidRPr="000412A1" w:rsidRDefault="00CB231F" w:rsidP="00CB231F">
      <w:pPr>
        <w:spacing w:line="480" w:lineRule="auto"/>
        <w:rPr>
          <w:sz w:val="22"/>
          <w:szCs w:val="22"/>
        </w:rPr>
      </w:pPr>
      <w:r w:rsidRPr="009A0A82">
        <w:rPr>
          <w:b/>
          <w:bCs/>
          <w:sz w:val="22"/>
          <w:szCs w:val="22"/>
        </w:rPr>
        <w:t>Table 4.</w:t>
      </w:r>
      <w:r w:rsidRPr="000412A1">
        <w:rPr>
          <w:sz w:val="22"/>
          <w:szCs w:val="22"/>
        </w:rPr>
        <w:t xml:space="preserve"> </w:t>
      </w:r>
      <w:r w:rsidR="00203457" w:rsidRPr="000412A1">
        <w:rPr>
          <w:sz w:val="22"/>
          <w:szCs w:val="22"/>
        </w:rPr>
        <w:t>Dewatering parameters after electro</w:t>
      </w:r>
      <w:r w:rsidR="001E7DCA" w:rsidRPr="000412A1">
        <w:rPr>
          <w:sz w:val="22"/>
          <w:szCs w:val="22"/>
        </w:rPr>
        <w:t>-</w:t>
      </w:r>
      <w:r w:rsidR="00203457" w:rsidRPr="000412A1">
        <w:rPr>
          <w:sz w:val="22"/>
          <w:szCs w:val="22"/>
        </w:rPr>
        <w:t>oxidation post-treatment.</w:t>
      </w:r>
    </w:p>
    <w:tbl>
      <w:tblPr>
        <w:tblW w:w="6085" w:type="pct"/>
        <w:tblInd w:w="-142" w:type="dxa"/>
        <w:tblLayout w:type="fixed"/>
        <w:tblLook w:val="04A0" w:firstRow="1" w:lastRow="0" w:firstColumn="1" w:lastColumn="0" w:noHBand="0" w:noVBand="1"/>
      </w:tblPr>
      <w:tblGrid>
        <w:gridCol w:w="729"/>
        <w:gridCol w:w="1740"/>
        <w:gridCol w:w="1598"/>
        <w:gridCol w:w="1305"/>
        <w:gridCol w:w="1161"/>
        <w:gridCol w:w="1161"/>
        <w:gridCol w:w="295"/>
        <w:gridCol w:w="588"/>
        <w:gridCol w:w="282"/>
        <w:gridCol w:w="8"/>
        <w:gridCol w:w="726"/>
        <w:gridCol w:w="1019"/>
      </w:tblGrid>
      <w:tr w:rsidR="001E7DCA" w:rsidRPr="000412A1" w14:paraId="3711EC3D" w14:textId="77777777" w:rsidTr="009A0A82">
        <w:trPr>
          <w:trHeight w:val="930"/>
        </w:trPr>
        <w:tc>
          <w:tcPr>
            <w:tcW w:w="343" w:type="pct"/>
            <w:tcBorders>
              <w:top w:val="single" w:sz="4" w:space="0" w:color="auto"/>
              <w:left w:val="nil"/>
              <w:bottom w:val="single" w:sz="4" w:space="0" w:color="auto"/>
              <w:right w:val="nil"/>
            </w:tcBorders>
            <w:vAlign w:val="center"/>
          </w:tcPr>
          <w:p w14:paraId="6B6317BE" w14:textId="77777777" w:rsidR="00203457" w:rsidRPr="009A0A82" w:rsidRDefault="00203457" w:rsidP="00203457">
            <w:pPr>
              <w:spacing w:line="480" w:lineRule="auto"/>
              <w:jc w:val="center"/>
              <w:rPr>
                <w:b/>
                <w:sz w:val="18"/>
                <w:szCs w:val="18"/>
              </w:rPr>
            </w:pPr>
            <w:r w:rsidRPr="009A0A82">
              <w:rPr>
                <w:b/>
                <w:sz w:val="18"/>
                <w:szCs w:val="18"/>
              </w:rPr>
              <w:t>Parameter</w:t>
            </w:r>
          </w:p>
        </w:tc>
        <w:tc>
          <w:tcPr>
            <w:tcW w:w="820" w:type="pct"/>
            <w:tcBorders>
              <w:top w:val="single" w:sz="4" w:space="0" w:color="auto"/>
              <w:left w:val="nil"/>
              <w:bottom w:val="single" w:sz="4" w:space="0" w:color="auto"/>
              <w:right w:val="nil"/>
            </w:tcBorders>
            <w:vAlign w:val="center"/>
          </w:tcPr>
          <w:p w14:paraId="5392D0DA" w14:textId="1C660965" w:rsidR="00203457" w:rsidRPr="009A0A82" w:rsidRDefault="00203457" w:rsidP="00203457">
            <w:pPr>
              <w:spacing w:line="480" w:lineRule="auto"/>
              <w:jc w:val="center"/>
              <w:rPr>
                <w:b/>
                <w:sz w:val="18"/>
                <w:szCs w:val="18"/>
              </w:rPr>
            </w:pPr>
            <w:r w:rsidRPr="009A0A82">
              <w:rPr>
                <w:b/>
                <w:sz w:val="18"/>
                <w:szCs w:val="18"/>
              </w:rPr>
              <w:t xml:space="preserve">Current </w:t>
            </w:r>
            <w:r w:rsidR="001E7DCA" w:rsidRPr="009A0A82">
              <w:rPr>
                <w:b/>
                <w:sz w:val="18"/>
                <w:szCs w:val="18"/>
              </w:rPr>
              <w:t>D</w:t>
            </w:r>
            <w:r w:rsidRPr="009A0A82">
              <w:rPr>
                <w:b/>
                <w:sz w:val="18"/>
                <w:szCs w:val="18"/>
              </w:rPr>
              <w:t>ensity</w:t>
            </w:r>
          </w:p>
          <w:p w14:paraId="42632CB6" w14:textId="1183353F" w:rsidR="00203457" w:rsidRPr="009A0A82" w:rsidRDefault="00203457" w:rsidP="00203457">
            <w:pPr>
              <w:spacing w:line="480" w:lineRule="auto"/>
              <w:jc w:val="center"/>
              <w:rPr>
                <w:b/>
                <w:sz w:val="18"/>
                <w:szCs w:val="18"/>
              </w:rPr>
            </w:pPr>
            <w:r w:rsidRPr="009A0A82">
              <w:rPr>
                <w:b/>
                <w:bCs/>
                <w:sz w:val="18"/>
                <w:szCs w:val="18"/>
              </w:rPr>
              <w:t>mA cm</w:t>
            </w:r>
            <w:r w:rsidR="001E7DCA" w:rsidRPr="009A0A82">
              <w:rPr>
                <w:b/>
                <w:bCs/>
                <w:sz w:val="18"/>
                <w:szCs w:val="18"/>
                <w:vertAlign w:val="superscript"/>
              </w:rPr>
              <w:t>–</w:t>
            </w:r>
            <w:r w:rsidRPr="009A0A82">
              <w:rPr>
                <w:b/>
                <w:bCs/>
                <w:sz w:val="18"/>
                <w:szCs w:val="18"/>
                <w:vertAlign w:val="superscript"/>
              </w:rPr>
              <w:t>2</w:t>
            </w:r>
          </w:p>
        </w:tc>
        <w:tc>
          <w:tcPr>
            <w:tcW w:w="753" w:type="pct"/>
            <w:tcBorders>
              <w:top w:val="single" w:sz="4" w:space="0" w:color="auto"/>
              <w:left w:val="nil"/>
              <w:bottom w:val="single" w:sz="4" w:space="0" w:color="auto"/>
              <w:right w:val="nil"/>
            </w:tcBorders>
            <w:vAlign w:val="center"/>
          </w:tcPr>
          <w:p w14:paraId="71B72312" w14:textId="77777777" w:rsidR="00203457" w:rsidRPr="009A0A82" w:rsidRDefault="00203457" w:rsidP="00203457">
            <w:pPr>
              <w:spacing w:line="480" w:lineRule="auto"/>
              <w:jc w:val="center"/>
              <w:rPr>
                <w:b/>
                <w:sz w:val="18"/>
                <w:szCs w:val="18"/>
              </w:rPr>
            </w:pPr>
            <w:r w:rsidRPr="009A0A82">
              <w:rPr>
                <w:b/>
                <w:sz w:val="18"/>
                <w:szCs w:val="18"/>
              </w:rPr>
              <w:t>Mean (µm)</w:t>
            </w:r>
          </w:p>
        </w:tc>
        <w:tc>
          <w:tcPr>
            <w:tcW w:w="615" w:type="pct"/>
            <w:tcBorders>
              <w:top w:val="single" w:sz="4" w:space="0" w:color="auto"/>
              <w:left w:val="nil"/>
              <w:bottom w:val="single" w:sz="4" w:space="0" w:color="auto"/>
              <w:right w:val="nil"/>
            </w:tcBorders>
            <w:vAlign w:val="center"/>
          </w:tcPr>
          <w:p w14:paraId="19C96B64" w14:textId="77777777" w:rsidR="00203457" w:rsidRPr="009A0A82" w:rsidRDefault="00203457" w:rsidP="00203457">
            <w:pPr>
              <w:spacing w:line="480" w:lineRule="auto"/>
              <w:jc w:val="center"/>
              <w:rPr>
                <w:b/>
                <w:sz w:val="18"/>
                <w:szCs w:val="18"/>
              </w:rPr>
            </w:pPr>
            <w:r w:rsidRPr="009A0A82">
              <w:rPr>
                <w:b/>
                <w:sz w:val="18"/>
                <w:szCs w:val="18"/>
              </w:rPr>
              <w:t>Median</w:t>
            </w:r>
          </w:p>
          <w:p w14:paraId="5F29ACEC" w14:textId="77777777" w:rsidR="00203457" w:rsidRPr="009A0A82" w:rsidRDefault="00203457" w:rsidP="00203457">
            <w:pPr>
              <w:spacing w:line="480" w:lineRule="auto"/>
              <w:jc w:val="center"/>
              <w:rPr>
                <w:b/>
                <w:sz w:val="18"/>
                <w:szCs w:val="18"/>
              </w:rPr>
            </w:pPr>
            <w:r w:rsidRPr="009A0A82">
              <w:rPr>
                <w:b/>
                <w:sz w:val="18"/>
                <w:szCs w:val="18"/>
              </w:rPr>
              <w:t>(µm)</w:t>
            </w:r>
          </w:p>
        </w:tc>
        <w:tc>
          <w:tcPr>
            <w:tcW w:w="547" w:type="pct"/>
            <w:tcBorders>
              <w:top w:val="single" w:sz="4" w:space="0" w:color="auto"/>
              <w:left w:val="nil"/>
              <w:bottom w:val="single" w:sz="4" w:space="0" w:color="auto"/>
              <w:right w:val="nil"/>
            </w:tcBorders>
            <w:vAlign w:val="center"/>
          </w:tcPr>
          <w:p w14:paraId="5CDBD284" w14:textId="719E6549" w:rsidR="00203457" w:rsidRPr="009A0A82" w:rsidRDefault="00203457" w:rsidP="00203457">
            <w:pPr>
              <w:spacing w:line="480" w:lineRule="auto"/>
              <w:jc w:val="center"/>
              <w:rPr>
                <w:b/>
                <w:sz w:val="18"/>
                <w:szCs w:val="18"/>
              </w:rPr>
            </w:pPr>
            <w:r w:rsidRPr="009A0A82">
              <w:rPr>
                <w:b/>
                <w:sz w:val="18"/>
                <w:szCs w:val="18"/>
              </w:rPr>
              <w:t>SSA (cm</w:t>
            </w:r>
            <w:r w:rsidRPr="009A0A82">
              <w:rPr>
                <w:b/>
                <w:sz w:val="18"/>
                <w:szCs w:val="18"/>
                <w:vertAlign w:val="superscript"/>
              </w:rPr>
              <w:t>2</w:t>
            </w:r>
            <w:r w:rsidRPr="009A0A82">
              <w:rPr>
                <w:b/>
                <w:sz w:val="18"/>
                <w:szCs w:val="18"/>
              </w:rPr>
              <w:t xml:space="preserve"> mL </w:t>
            </w:r>
            <w:r w:rsidR="001E7DCA" w:rsidRPr="009A0A82">
              <w:rPr>
                <w:b/>
                <w:sz w:val="18"/>
                <w:szCs w:val="18"/>
                <w:vertAlign w:val="superscript"/>
              </w:rPr>
              <w:t>–</w:t>
            </w:r>
            <w:r w:rsidRPr="009A0A82">
              <w:rPr>
                <w:b/>
                <w:sz w:val="18"/>
                <w:szCs w:val="18"/>
                <w:vertAlign w:val="superscript"/>
              </w:rPr>
              <w:t>1</w:t>
            </w:r>
            <w:r w:rsidRPr="009A0A82">
              <w:rPr>
                <w:b/>
                <w:sz w:val="18"/>
                <w:szCs w:val="18"/>
              </w:rPr>
              <w:t>)</w:t>
            </w:r>
          </w:p>
        </w:tc>
        <w:tc>
          <w:tcPr>
            <w:tcW w:w="686" w:type="pct"/>
            <w:gridSpan w:val="2"/>
            <w:tcBorders>
              <w:top w:val="single" w:sz="4" w:space="0" w:color="auto"/>
              <w:left w:val="nil"/>
              <w:bottom w:val="single" w:sz="4" w:space="0" w:color="auto"/>
              <w:right w:val="nil"/>
            </w:tcBorders>
            <w:vAlign w:val="center"/>
          </w:tcPr>
          <w:p w14:paraId="78280AA9" w14:textId="77777777" w:rsidR="00203457" w:rsidRPr="009A0A82" w:rsidRDefault="00203457" w:rsidP="00203457">
            <w:pPr>
              <w:spacing w:line="480" w:lineRule="auto"/>
              <w:jc w:val="center"/>
              <w:rPr>
                <w:b/>
                <w:sz w:val="18"/>
                <w:szCs w:val="18"/>
              </w:rPr>
            </w:pPr>
            <w:r w:rsidRPr="009A0A82">
              <w:rPr>
                <w:b/>
                <w:sz w:val="18"/>
                <w:szCs w:val="18"/>
              </w:rPr>
              <w:t>VS removal (%)</w:t>
            </w:r>
          </w:p>
        </w:tc>
        <w:tc>
          <w:tcPr>
            <w:tcW w:w="277" w:type="pct"/>
            <w:tcBorders>
              <w:top w:val="single" w:sz="4" w:space="0" w:color="auto"/>
              <w:left w:val="nil"/>
              <w:bottom w:val="single" w:sz="4" w:space="0" w:color="auto"/>
              <w:right w:val="nil"/>
            </w:tcBorders>
            <w:vAlign w:val="center"/>
          </w:tcPr>
          <w:p w14:paraId="332DE723" w14:textId="77777777" w:rsidR="00203457" w:rsidRPr="009A0A82" w:rsidRDefault="00203457" w:rsidP="00203457">
            <w:pPr>
              <w:spacing w:line="480" w:lineRule="auto"/>
              <w:jc w:val="center"/>
              <w:rPr>
                <w:b/>
                <w:sz w:val="18"/>
                <w:szCs w:val="18"/>
              </w:rPr>
            </w:pPr>
            <w:r w:rsidRPr="009A0A82">
              <w:rPr>
                <w:b/>
                <w:sz w:val="18"/>
                <w:szCs w:val="18"/>
              </w:rPr>
              <w:t>TS (g/kg)</w:t>
            </w:r>
          </w:p>
        </w:tc>
        <w:tc>
          <w:tcPr>
            <w:tcW w:w="479" w:type="pct"/>
            <w:gridSpan w:val="3"/>
            <w:tcBorders>
              <w:top w:val="single" w:sz="4" w:space="0" w:color="auto"/>
              <w:left w:val="nil"/>
              <w:bottom w:val="single" w:sz="4" w:space="0" w:color="auto"/>
              <w:right w:val="nil"/>
            </w:tcBorders>
            <w:vAlign w:val="center"/>
          </w:tcPr>
          <w:p w14:paraId="0308F95E" w14:textId="77777777" w:rsidR="00203457" w:rsidRPr="009A0A82" w:rsidRDefault="00203457" w:rsidP="00203457">
            <w:pPr>
              <w:spacing w:line="480" w:lineRule="auto"/>
              <w:jc w:val="center"/>
              <w:rPr>
                <w:b/>
                <w:sz w:val="18"/>
                <w:szCs w:val="18"/>
              </w:rPr>
            </w:pPr>
            <w:r w:rsidRPr="009A0A82">
              <w:rPr>
                <w:b/>
                <w:sz w:val="18"/>
                <w:szCs w:val="18"/>
              </w:rPr>
              <w:t>CSTs (s)</w:t>
            </w:r>
          </w:p>
        </w:tc>
        <w:tc>
          <w:tcPr>
            <w:tcW w:w="480" w:type="pct"/>
            <w:tcBorders>
              <w:top w:val="single" w:sz="4" w:space="0" w:color="auto"/>
              <w:left w:val="nil"/>
              <w:bottom w:val="single" w:sz="4" w:space="0" w:color="auto"/>
              <w:right w:val="nil"/>
            </w:tcBorders>
            <w:vAlign w:val="center"/>
          </w:tcPr>
          <w:p w14:paraId="0A5341DA" w14:textId="64A09296" w:rsidR="00203457" w:rsidRPr="009A0A82" w:rsidRDefault="00203457" w:rsidP="00203457">
            <w:pPr>
              <w:spacing w:line="480" w:lineRule="auto"/>
              <w:jc w:val="center"/>
              <w:rPr>
                <w:b/>
                <w:sz w:val="18"/>
                <w:szCs w:val="18"/>
              </w:rPr>
            </w:pPr>
            <w:r w:rsidRPr="009A0A82">
              <w:rPr>
                <w:b/>
                <w:sz w:val="18"/>
                <w:szCs w:val="18"/>
              </w:rPr>
              <w:t xml:space="preserve">SRF </w:t>
            </w:r>
            <w:r w:rsidR="00C20182" w:rsidRPr="00C20182">
              <w:rPr>
                <w:b/>
                <w:sz w:val="18"/>
                <w:szCs w:val="18"/>
              </w:rPr>
              <w:t>×</w:t>
            </w:r>
            <w:r w:rsidR="00C20182" w:rsidRPr="009B760B" w:rsidDel="00C20182">
              <w:rPr>
                <w:b/>
                <w:sz w:val="18"/>
                <w:szCs w:val="18"/>
              </w:rPr>
              <w:t xml:space="preserve"> </w:t>
            </w:r>
            <w:r w:rsidRPr="009A0A82">
              <w:rPr>
                <w:b/>
                <w:sz w:val="18"/>
                <w:szCs w:val="18"/>
              </w:rPr>
              <w:t>10</w:t>
            </w:r>
            <w:r w:rsidRPr="009A0A82">
              <w:rPr>
                <w:b/>
                <w:sz w:val="18"/>
                <w:szCs w:val="18"/>
                <w:vertAlign w:val="superscript"/>
              </w:rPr>
              <w:t>12</w:t>
            </w:r>
            <w:r w:rsidRPr="009A0A82">
              <w:rPr>
                <w:b/>
                <w:sz w:val="18"/>
                <w:szCs w:val="18"/>
              </w:rPr>
              <w:t xml:space="preserve"> (m/kg)</w:t>
            </w:r>
          </w:p>
        </w:tc>
      </w:tr>
      <w:tr w:rsidR="001E7DCA" w:rsidRPr="000412A1" w14:paraId="6CF47939" w14:textId="77777777" w:rsidTr="009A0A82">
        <w:trPr>
          <w:trHeight w:val="472"/>
        </w:trPr>
        <w:tc>
          <w:tcPr>
            <w:tcW w:w="343" w:type="pct"/>
            <w:tcBorders>
              <w:top w:val="single" w:sz="4" w:space="0" w:color="auto"/>
              <w:left w:val="nil"/>
              <w:bottom w:val="single" w:sz="4" w:space="0" w:color="auto"/>
              <w:right w:val="nil"/>
            </w:tcBorders>
            <w:vAlign w:val="center"/>
          </w:tcPr>
          <w:p w14:paraId="45A0B8CA" w14:textId="77777777" w:rsidR="00203457" w:rsidRPr="009A0A82" w:rsidRDefault="00203457" w:rsidP="00203457">
            <w:pPr>
              <w:spacing w:line="480" w:lineRule="auto"/>
              <w:jc w:val="center"/>
              <w:rPr>
                <w:b/>
                <w:sz w:val="18"/>
                <w:szCs w:val="18"/>
              </w:rPr>
            </w:pPr>
            <w:r w:rsidRPr="009A0A82">
              <w:rPr>
                <w:b/>
                <w:sz w:val="18"/>
                <w:szCs w:val="18"/>
              </w:rPr>
              <w:t>Digestate</w:t>
            </w:r>
          </w:p>
        </w:tc>
        <w:tc>
          <w:tcPr>
            <w:tcW w:w="820" w:type="pct"/>
            <w:tcBorders>
              <w:top w:val="single" w:sz="4" w:space="0" w:color="auto"/>
              <w:left w:val="nil"/>
              <w:bottom w:val="single" w:sz="4" w:space="0" w:color="auto"/>
              <w:right w:val="nil"/>
            </w:tcBorders>
          </w:tcPr>
          <w:p w14:paraId="41DE09BB" w14:textId="77777777" w:rsidR="00203457" w:rsidRPr="009A0A82" w:rsidRDefault="00203457" w:rsidP="00203457">
            <w:pPr>
              <w:spacing w:line="480" w:lineRule="auto"/>
              <w:jc w:val="center"/>
              <w:rPr>
                <w:sz w:val="18"/>
                <w:szCs w:val="18"/>
              </w:rPr>
            </w:pPr>
            <w:r w:rsidRPr="009A0A82">
              <w:rPr>
                <w:sz w:val="18"/>
                <w:szCs w:val="18"/>
              </w:rPr>
              <w:t>n/a</w:t>
            </w:r>
          </w:p>
        </w:tc>
        <w:tc>
          <w:tcPr>
            <w:tcW w:w="753" w:type="pct"/>
            <w:tcBorders>
              <w:top w:val="single" w:sz="4" w:space="0" w:color="auto"/>
              <w:left w:val="nil"/>
              <w:bottom w:val="single" w:sz="4" w:space="0" w:color="auto"/>
              <w:right w:val="nil"/>
            </w:tcBorders>
          </w:tcPr>
          <w:p w14:paraId="7E28176F" w14:textId="4A771845" w:rsidR="00203457" w:rsidRPr="009A0A82" w:rsidRDefault="00203457" w:rsidP="00203457">
            <w:pPr>
              <w:spacing w:line="480" w:lineRule="auto"/>
              <w:jc w:val="center"/>
              <w:rPr>
                <w:sz w:val="18"/>
                <w:szCs w:val="18"/>
              </w:rPr>
            </w:pPr>
            <w:r w:rsidRPr="009A0A82">
              <w:rPr>
                <w:sz w:val="18"/>
                <w:szCs w:val="18"/>
              </w:rPr>
              <w:t>61.5</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1.23</w:t>
            </w:r>
          </w:p>
        </w:tc>
        <w:tc>
          <w:tcPr>
            <w:tcW w:w="615" w:type="pct"/>
            <w:tcBorders>
              <w:top w:val="single" w:sz="4" w:space="0" w:color="auto"/>
              <w:left w:val="nil"/>
              <w:bottom w:val="single" w:sz="4" w:space="0" w:color="auto"/>
              <w:right w:val="nil"/>
            </w:tcBorders>
            <w:vAlign w:val="center"/>
          </w:tcPr>
          <w:p w14:paraId="6317E89F" w14:textId="1C351729" w:rsidR="00203457" w:rsidRPr="009A0A82" w:rsidRDefault="00203457" w:rsidP="00203457">
            <w:pPr>
              <w:spacing w:line="480" w:lineRule="auto"/>
              <w:jc w:val="center"/>
              <w:rPr>
                <w:sz w:val="18"/>
                <w:szCs w:val="18"/>
              </w:rPr>
            </w:pPr>
            <w:r w:rsidRPr="009A0A82">
              <w:rPr>
                <w:sz w:val="18"/>
                <w:szCs w:val="18"/>
              </w:rPr>
              <w:t>35.0</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1.06</w:t>
            </w:r>
          </w:p>
        </w:tc>
        <w:tc>
          <w:tcPr>
            <w:tcW w:w="547" w:type="pct"/>
            <w:tcBorders>
              <w:top w:val="single" w:sz="4" w:space="0" w:color="auto"/>
              <w:left w:val="nil"/>
              <w:bottom w:val="single" w:sz="4" w:space="0" w:color="auto"/>
              <w:right w:val="nil"/>
            </w:tcBorders>
          </w:tcPr>
          <w:p w14:paraId="2743F9CC" w14:textId="282C3A6C" w:rsidR="00203457" w:rsidRPr="009A0A82" w:rsidRDefault="00203457" w:rsidP="00203457">
            <w:pPr>
              <w:spacing w:line="480" w:lineRule="auto"/>
              <w:jc w:val="center"/>
              <w:rPr>
                <w:sz w:val="18"/>
                <w:szCs w:val="18"/>
              </w:rPr>
            </w:pPr>
            <w:r w:rsidRPr="009A0A82">
              <w:rPr>
                <w:sz w:val="18"/>
                <w:szCs w:val="18"/>
              </w:rPr>
              <w:t>2874</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57</w:t>
            </w:r>
          </w:p>
        </w:tc>
        <w:tc>
          <w:tcPr>
            <w:tcW w:w="547" w:type="pct"/>
            <w:tcBorders>
              <w:top w:val="single" w:sz="4" w:space="0" w:color="auto"/>
              <w:left w:val="nil"/>
              <w:bottom w:val="single" w:sz="4" w:space="0" w:color="auto"/>
              <w:right w:val="nil"/>
            </w:tcBorders>
            <w:shd w:val="clear" w:color="auto" w:fill="auto"/>
            <w:vAlign w:val="center"/>
          </w:tcPr>
          <w:p w14:paraId="75D2DF5F" w14:textId="77777777" w:rsidR="00203457" w:rsidRPr="009A0A82" w:rsidRDefault="00203457" w:rsidP="00203457">
            <w:pPr>
              <w:spacing w:line="480" w:lineRule="auto"/>
              <w:jc w:val="center"/>
              <w:rPr>
                <w:sz w:val="18"/>
                <w:szCs w:val="18"/>
              </w:rPr>
            </w:pPr>
            <w:r w:rsidRPr="009A0A82">
              <w:rPr>
                <w:sz w:val="18"/>
                <w:szCs w:val="18"/>
              </w:rPr>
              <w:t>n/a</w:t>
            </w:r>
          </w:p>
        </w:tc>
        <w:tc>
          <w:tcPr>
            <w:tcW w:w="549" w:type="pct"/>
            <w:gridSpan w:val="3"/>
            <w:tcBorders>
              <w:top w:val="single" w:sz="4" w:space="0" w:color="auto"/>
              <w:left w:val="nil"/>
              <w:bottom w:val="single" w:sz="4" w:space="0" w:color="auto"/>
              <w:right w:val="nil"/>
            </w:tcBorders>
            <w:vAlign w:val="center"/>
          </w:tcPr>
          <w:p w14:paraId="35D03EAA" w14:textId="63E8CE8B" w:rsidR="00203457" w:rsidRPr="009A0A82" w:rsidRDefault="00203457" w:rsidP="00203457">
            <w:pPr>
              <w:spacing w:line="480" w:lineRule="auto"/>
              <w:jc w:val="center"/>
              <w:rPr>
                <w:sz w:val="18"/>
                <w:szCs w:val="18"/>
              </w:rPr>
            </w:pPr>
            <w:r w:rsidRPr="009A0A82">
              <w:rPr>
                <w:sz w:val="18"/>
                <w:szCs w:val="18"/>
              </w:rPr>
              <w:t>21.8</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0.65</w:t>
            </w:r>
          </w:p>
        </w:tc>
        <w:tc>
          <w:tcPr>
            <w:tcW w:w="346" w:type="pct"/>
            <w:gridSpan w:val="2"/>
            <w:tcBorders>
              <w:top w:val="single" w:sz="4" w:space="0" w:color="auto"/>
              <w:left w:val="nil"/>
              <w:bottom w:val="single" w:sz="4" w:space="0" w:color="auto"/>
              <w:right w:val="nil"/>
            </w:tcBorders>
            <w:vAlign w:val="center"/>
          </w:tcPr>
          <w:p w14:paraId="1100E30A" w14:textId="77777777" w:rsidR="00203457" w:rsidRPr="009A0A82" w:rsidRDefault="00203457" w:rsidP="00203457">
            <w:pPr>
              <w:spacing w:line="480" w:lineRule="auto"/>
              <w:jc w:val="center"/>
              <w:rPr>
                <w:sz w:val="18"/>
                <w:szCs w:val="18"/>
              </w:rPr>
            </w:pPr>
            <w:r w:rsidRPr="009A0A82">
              <w:rPr>
                <w:sz w:val="18"/>
                <w:szCs w:val="18"/>
              </w:rPr>
              <w:t>&gt;2000</w:t>
            </w:r>
          </w:p>
        </w:tc>
        <w:tc>
          <w:tcPr>
            <w:tcW w:w="480" w:type="pct"/>
            <w:tcBorders>
              <w:top w:val="single" w:sz="4" w:space="0" w:color="auto"/>
              <w:left w:val="nil"/>
              <w:bottom w:val="single" w:sz="4" w:space="0" w:color="auto"/>
              <w:right w:val="nil"/>
            </w:tcBorders>
            <w:vAlign w:val="center"/>
          </w:tcPr>
          <w:p w14:paraId="6A12C3F5" w14:textId="70AEC610" w:rsidR="00203457" w:rsidRPr="009A0A82" w:rsidRDefault="00203457" w:rsidP="00203457">
            <w:pPr>
              <w:spacing w:line="480" w:lineRule="auto"/>
              <w:jc w:val="center"/>
              <w:rPr>
                <w:sz w:val="18"/>
                <w:szCs w:val="18"/>
              </w:rPr>
            </w:pPr>
            <w:r w:rsidRPr="009A0A82">
              <w:rPr>
                <w:sz w:val="18"/>
                <w:szCs w:val="18"/>
              </w:rPr>
              <w:t>4.17</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0.05</w:t>
            </w:r>
          </w:p>
        </w:tc>
      </w:tr>
      <w:tr w:rsidR="001E7DCA" w:rsidRPr="000412A1" w14:paraId="2814477B" w14:textId="77777777" w:rsidTr="009A0A82">
        <w:trPr>
          <w:trHeight w:val="472"/>
        </w:trPr>
        <w:tc>
          <w:tcPr>
            <w:tcW w:w="343" w:type="pct"/>
            <w:tcBorders>
              <w:top w:val="single" w:sz="4" w:space="0" w:color="auto"/>
              <w:left w:val="nil"/>
              <w:bottom w:val="nil"/>
              <w:right w:val="nil"/>
            </w:tcBorders>
            <w:vAlign w:val="center"/>
          </w:tcPr>
          <w:p w14:paraId="79DB7D22" w14:textId="77777777" w:rsidR="00203457" w:rsidRPr="009A0A82" w:rsidRDefault="00203457" w:rsidP="00203457">
            <w:pPr>
              <w:spacing w:line="480" w:lineRule="auto"/>
              <w:jc w:val="center"/>
              <w:rPr>
                <w:b/>
                <w:sz w:val="18"/>
                <w:szCs w:val="18"/>
              </w:rPr>
            </w:pPr>
            <w:r w:rsidRPr="009A0A82">
              <w:rPr>
                <w:b/>
                <w:sz w:val="18"/>
                <w:szCs w:val="18"/>
              </w:rPr>
              <w:t>P1</w:t>
            </w:r>
          </w:p>
        </w:tc>
        <w:tc>
          <w:tcPr>
            <w:tcW w:w="820" w:type="pct"/>
            <w:tcBorders>
              <w:top w:val="single" w:sz="4" w:space="0" w:color="auto"/>
              <w:left w:val="nil"/>
              <w:bottom w:val="nil"/>
              <w:right w:val="nil"/>
            </w:tcBorders>
          </w:tcPr>
          <w:p w14:paraId="745C8440" w14:textId="3638FBC3" w:rsidR="00203457" w:rsidRPr="009A0A82" w:rsidRDefault="00203457" w:rsidP="00203457">
            <w:pPr>
              <w:spacing w:line="480" w:lineRule="auto"/>
              <w:jc w:val="center"/>
              <w:rPr>
                <w:bCs/>
                <w:sz w:val="18"/>
                <w:szCs w:val="18"/>
              </w:rPr>
            </w:pPr>
            <w:r w:rsidRPr="009A0A82">
              <w:rPr>
                <w:bCs/>
                <w:sz w:val="18"/>
                <w:szCs w:val="18"/>
              </w:rPr>
              <w:t>5.5</w:t>
            </w:r>
            <w:r w:rsidR="001E7DCA" w:rsidRPr="009A0A82">
              <w:rPr>
                <w:bCs/>
                <w:sz w:val="18"/>
                <w:szCs w:val="18"/>
              </w:rPr>
              <w:t xml:space="preserve"> </w:t>
            </w:r>
            <w:r w:rsidRPr="009A0A82">
              <w:rPr>
                <w:bCs/>
                <w:sz w:val="18"/>
                <w:szCs w:val="18"/>
              </w:rPr>
              <w:t>±</w:t>
            </w:r>
            <w:r w:rsidR="001E7DCA" w:rsidRPr="009A0A82">
              <w:rPr>
                <w:bCs/>
                <w:sz w:val="18"/>
                <w:szCs w:val="18"/>
              </w:rPr>
              <w:t xml:space="preserve"> </w:t>
            </w:r>
            <w:r w:rsidRPr="009A0A82">
              <w:rPr>
                <w:bCs/>
                <w:sz w:val="18"/>
                <w:szCs w:val="18"/>
              </w:rPr>
              <w:t>0.01</w:t>
            </w:r>
          </w:p>
        </w:tc>
        <w:tc>
          <w:tcPr>
            <w:tcW w:w="753" w:type="pct"/>
            <w:tcBorders>
              <w:top w:val="single" w:sz="4" w:space="0" w:color="auto"/>
              <w:left w:val="nil"/>
              <w:bottom w:val="nil"/>
              <w:right w:val="nil"/>
            </w:tcBorders>
          </w:tcPr>
          <w:p w14:paraId="1C4A71AE" w14:textId="55EAE396" w:rsidR="00203457" w:rsidRPr="009A0A82" w:rsidRDefault="00203457" w:rsidP="00203457">
            <w:pPr>
              <w:spacing w:line="480" w:lineRule="auto"/>
              <w:jc w:val="center"/>
              <w:rPr>
                <w:sz w:val="18"/>
                <w:szCs w:val="18"/>
              </w:rPr>
            </w:pPr>
            <w:r w:rsidRPr="009A0A82">
              <w:rPr>
                <w:sz w:val="18"/>
                <w:szCs w:val="18"/>
              </w:rPr>
              <w:t>38.8</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0.77</w:t>
            </w:r>
          </w:p>
        </w:tc>
        <w:tc>
          <w:tcPr>
            <w:tcW w:w="615" w:type="pct"/>
            <w:tcBorders>
              <w:top w:val="single" w:sz="4" w:space="0" w:color="auto"/>
              <w:left w:val="nil"/>
              <w:bottom w:val="nil"/>
              <w:right w:val="nil"/>
            </w:tcBorders>
            <w:vAlign w:val="center"/>
          </w:tcPr>
          <w:p w14:paraId="6EF7DF5F" w14:textId="3E128582" w:rsidR="00203457" w:rsidRPr="009A0A82" w:rsidRDefault="00203457" w:rsidP="00203457">
            <w:pPr>
              <w:spacing w:line="480" w:lineRule="auto"/>
              <w:jc w:val="center"/>
              <w:rPr>
                <w:sz w:val="18"/>
                <w:szCs w:val="18"/>
              </w:rPr>
            </w:pPr>
            <w:r w:rsidRPr="009A0A82">
              <w:rPr>
                <w:sz w:val="18"/>
                <w:szCs w:val="18"/>
              </w:rPr>
              <w:t>30.8</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0.99</w:t>
            </w:r>
          </w:p>
        </w:tc>
        <w:tc>
          <w:tcPr>
            <w:tcW w:w="547" w:type="pct"/>
            <w:tcBorders>
              <w:top w:val="single" w:sz="4" w:space="0" w:color="auto"/>
              <w:left w:val="nil"/>
              <w:bottom w:val="nil"/>
              <w:right w:val="nil"/>
            </w:tcBorders>
          </w:tcPr>
          <w:p w14:paraId="3641446F" w14:textId="27D16C15" w:rsidR="00203457" w:rsidRPr="009A0A82" w:rsidRDefault="00203457" w:rsidP="00203457">
            <w:pPr>
              <w:spacing w:line="480" w:lineRule="auto"/>
              <w:jc w:val="center"/>
              <w:rPr>
                <w:sz w:val="18"/>
                <w:szCs w:val="18"/>
              </w:rPr>
            </w:pPr>
            <w:r w:rsidRPr="009A0A82">
              <w:rPr>
                <w:sz w:val="18"/>
                <w:szCs w:val="18"/>
              </w:rPr>
              <w:t>3539</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65</w:t>
            </w:r>
          </w:p>
        </w:tc>
        <w:tc>
          <w:tcPr>
            <w:tcW w:w="686" w:type="pct"/>
            <w:gridSpan w:val="2"/>
            <w:tcBorders>
              <w:top w:val="single" w:sz="4" w:space="0" w:color="auto"/>
              <w:left w:val="nil"/>
              <w:bottom w:val="nil"/>
              <w:right w:val="nil"/>
            </w:tcBorders>
            <w:shd w:val="clear" w:color="auto" w:fill="auto"/>
            <w:vAlign w:val="center"/>
          </w:tcPr>
          <w:p w14:paraId="00EB3929" w14:textId="7360AA64" w:rsidR="00203457" w:rsidRPr="009A0A82" w:rsidRDefault="00203457" w:rsidP="00203457">
            <w:pPr>
              <w:spacing w:line="480" w:lineRule="auto"/>
              <w:jc w:val="center"/>
              <w:rPr>
                <w:sz w:val="18"/>
                <w:szCs w:val="18"/>
              </w:rPr>
            </w:pPr>
            <w:r w:rsidRPr="009A0A82">
              <w:rPr>
                <w:sz w:val="18"/>
                <w:szCs w:val="18"/>
              </w:rPr>
              <w:t>8.8</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bCs/>
                <w:sz w:val="18"/>
                <w:szCs w:val="18"/>
              </w:rPr>
              <w:t>0.01</w:t>
            </w:r>
          </w:p>
        </w:tc>
        <w:tc>
          <w:tcPr>
            <w:tcW w:w="414" w:type="pct"/>
            <w:gridSpan w:val="3"/>
            <w:tcBorders>
              <w:top w:val="single" w:sz="4" w:space="0" w:color="auto"/>
              <w:left w:val="nil"/>
              <w:bottom w:val="nil"/>
              <w:right w:val="nil"/>
            </w:tcBorders>
            <w:vAlign w:val="center"/>
          </w:tcPr>
          <w:p w14:paraId="5AFC7D69" w14:textId="7B9EF6AD" w:rsidR="00203457" w:rsidRPr="009A0A82" w:rsidRDefault="00203457" w:rsidP="00203457">
            <w:pPr>
              <w:spacing w:line="480" w:lineRule="auto"/>
              <w:jc w:val="center"/>
              <w:rPr>
                <w:sz w:val="18"/>
                <w:szCs w:val="18"/>
              </w:rPr>
            </w:pPr>
            <w:r w:rsidRPr="009A0A82">
              <w:rPr>
                <w:sz w:val="18"/>
                <w:szCs w:val="18"/>
              </w:rPr>
              <w:t>19.4</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0.50</w:t>
            </w:r>
          </w:p>
        </w:tc>
        <w:tc>
          <w:tcPr>
            <w:tcW w:w="342" w:type="pct"/>
            <w:tcBorders>
              <w:top w:val="single" w:sz="4" w:space="0" w:color="auto"/>
              <w:left w:val="nil"/>
              <w:bottom w:val="nil"/>
              <w:right w:val="nil"/>
            </w:tcBorders>
            <w:vAlign w:val="center"/>
          </w:tcPr>
          <w:p w14:paraId="236402BC" w14:textId="2DDD2492" w:rsidR="00203457" w:rsidRPr="009A0A82" w:rsidRDefault="00203457" w:rsidP="00203457">
            <w:pPr>
              <w:spacing w:line="480" w:lineRule="auto"/>
              <w:jc w:val="center"/>
              <w:rPr>
                <w:sz w:val="18"/>
                <w:szCs w:val="18"/>
              </w:rPr>
            </w:pPr>
            <w:r w:rsidRPr="009A0A82">
              <w:rPr>
                <w:sz w:val="18"/>
                <w:szCs w:val="18"/>
              </w:rPr>
              <w:t>914</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30</w:t>
            </w:r>
          </w:p>
        </w:tc>
        <w:tc>
          <w:tcPr>
            <w:tcW w:w="480" w:type="pct"/>
            <w:tcBorders>
              <w:top w:val="single" w:sz="4" w:space="0" w:color="auto"/>
              <w:left w:val="nil"/>
              <w:bottom w:val="nil"/>
              <w:right w:val="nil"/>
            </w:tcBorders>
            <w:vAlign w:val="center"/>
          </w:tcPr>
          <w:p w14:paraId="4EC9A037" w14:textId="6CC62EA7" w:rsidR="00203457" w:rsidRPr="009A0A82" w:rsidRDefault="00203457" w:rsidP="00203457">
            <w:pPr>
              <w:spacing w:line="480" w:lineRule="auto"/>
              <w:jc w:val="center"/>
              <w:rPr>
                <w:sz w:val="18"/>
                <w:szCs w:val="18"/>
              </w:rPr>
            </w:pPr>
            <w:r w:rsidRPr="009A0A82">
              <w:rPr>
                <w:sz w:val="18"/>
                <w:szCs w:val="18"/>
              </w:rPr>
              <w:t>3.75</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0.06</w:t>
            </w:r>
          </w:p>
        </w:tc>
      </w:tr>
      <w:tr w:rsidR="001E7DCA" w:rsidRPr="000412A1" w14:paraId="632F86CE" w14:textId="77777777" w:rsidTr="009A0A82">
        <w:trPr>
          <w:trHeight w:val="458"/>
        </w:trPr>
        <w:tc>
          <w:tcPr>
            <w:tcW w:w="343" w:type="pct"/>
            <w:tcBorders>
              <w:top w:val="nil"/>
              <w:left w:val="nil"/>
              <w:bottom w:val="nil"/>
              <w:right w:val="nil"/>
            </w:tcBorders>
            <w:vAlign w:val="center"/>
          </w:tcPr>
          <w:p w14:paraId="2D0709EF" w14:textId="77777777" w:rsidR="00203457" w:rsidRPr="009A0A82" w:rsidRDefault="00203457" w:rsidP="00203457">
            <w:pPr>
              <w:spacing w:line="480" w:lineRule="auto"/>
              <w:jc w:val="center"/>
              <w:rPr>
                <w:b/>
                <w:sz w:val="18"/>
                <w:szCs w:val="18"/>
              </w:rPr>
            </w:pPr>
            <w:r w:rsidRPr="009A0A82">
              <w:rPr>
                <w:b/>
                <w:sz w:val="18"/>
                <w:szCs w:val="18"/>
              </w:rPr>
              <w:t>P2</w:t>
            </w:r>
          </w:p>
        </w:tc>
        <w:tc>
          <w:tcPr>
            <w:tcW w:w="820" w:type="pct"/>
            <w:tcBorders>
              <w:top w:val="nil"/>
              <w:left w:val="nil"/>
              <w:bottom w:val="nil"/>
              <w:right w:val="nil"/>
            </w:tcBorders>
          </w:tcPr>
          <w:p w14:paraId="0214DDE9" w14:textId="20AEC751" w:rsidR="00203457" w:rsidRPr="009A0A82" w:rsidRDefault="00203457" w:rsidP="00203457">
            <w:pPr>
              <w:spacing w:line="480" w:lineRule="auto"/>
              <w:jc w:val="center"/>
              <w:rPr>
                <w:bCs/>
                <w:sz w:val="18"/>
                <w:szCs w:val="18"/>
              </w:rPr>
            </w:pPr>
            <w:r w:rsidRPr="009A0A82">
              <w:rPr>
                <w:bCs/>
                <w:sz w:val="18"/>
                <w:szCs w:val="18"/>
              </w:rPr>
              <w:t>10.7</w:t>
            </w:r>
            <w:r w:rsidR="001E7DCA" w:rsidRPr="009A0A82">
              <w:rPr>
                <w:bCs/>
                <w:sz w:val="18"/>
                <w:szCs w:val="18"/>
              </w:rPr>
              <w:t xml:space="preserve"> </w:t>
            </w:r>
            <w:r w:rsidRPr="009A0A82">
              <w:rPr>
                <w:bCs/>
                <w:sz w:val="18"/>
                <w:szCs w:val="18"/>
              </w:rPr>
              <w:t>±</w:t>
            </w:r>
            <w:r w:rsidR="001E7DCA" w:rsidRPr="009A0A82">
              <w:rPr>
                <w:bCs/>
                <w:sz w:val="18"/>
                <w:szCs w:val="18"/>
              </w:rPr>
              <w:t xml:space="preserve"> </w:t>
            </w:r>
            <w:r w:rsidRPr="009A0A82">
              <w:rPr>
                <w:bCs/>
                <w:sz w:val="18"/>
                <w:szCs w:val="18"/>
              </w:rPr>
              <w:t>0.01</w:t>
            </w:r>
          </w:p>
        </w:tc>
        <w:tc>
          <w:tcPr>
            <w:tcW w:w="753" w:type="pct"/>
            <w:tcBorders>
              <w:top w:val="nil"/>
              <w:left w:val="nil"/>
              <w:bottom w:val="nil"/>
              <w:right w:val="nil"/>
            </w:tcBorders>
          </w:tcPr>
          <w:p w14:paraId="7591DD14" w14:textId="2F29C723" w:rsidR="00203457" w:rsidRPr="009A0A82" w:rsidRDefault="00203457" w:rsidP="00203457">
            <w:pPr>
              <w:spacing w:line="480" w:lineRule="auto"/>
              <w:jc w:val="center"/>
              <w:rPr>
                <w:sz w:val="18"/>
                <w:szCs w:val="18"/>
              </w:rPr>
            </w:pPr>
            <w:r w:rsidRPr="009A0A82">
              <w:rPr>
                <w:sz w:val="18"/>
                <w:szCs w:val="18"/>
              </w:rPr>
              <w:t>37.8</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0.66</w:t>
            </w:r>
          </w:p>
        </w:tc>
        <w:tc>
          <w:tcPr>
            <w:tcW w:w="615" w:type="pct"/>
            <w:tcBorders>
              <w:top w:val="nil"/>
              <w:left w:val="nil"/>
              <w:bottom w:val="nil"/>
              <w:right w:val="nil"/>
            </w:tcBorders>
            <w:vAlign w:val="center"/>
          </w:tcPr>
          <w:p w14:paraId="77DB3343" w14:textId="1FD41FDF" w:rsidR="00203457" w:rsidRPr="009A0A82" w:rsidRDefault="00203457" w:rsidP="00203457">
            <w:pPr>
              <w:spacing w:line="480" w:lineRule="auto"/>
              <w:jc w:val="center"/>
              <w:rPr>
                <w:sz w:val="18"/>
                <w:szCs w:val="18"/>
              </w:rPr>
            </w:pPr>
            <w:r w:rsidRPr="009A0A82">
              <w:rPr>
                <w:sz w:val="18"/>
                <w:szCs w:val="18"/>
              </w:rPr>
              <w:t>29.1</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1.02</w:t>
            </w:r>
          </w:p>
        </w:tc>
        <w:tc>
          <w:tcPr>
            <w:tcW w:w="547" w:type="pct"/>
            <w:tcBorders>
              <w:top w:val="nil"/>
              <w:left w:val="nil"/>
              <w:bottom w:val="nil"/>
              <w:right w:val="nil"/>
            </w:tcBorders>
          </w:tcPr>
          <w:p w14:paraId="2F4A90F2" w14:textId="6FF3C7C6" w:rsidR="00203457" w:rsidRPr="009A0A82" w:rsidRDefault="00203457" w:rsidP="00203457">
            <w:pPr>
              <w:spacing w:line="480" w:lineRule="auto"/>
              <w:jc w:val="center"/>
              <w:rPr>
                <w:sz w:val="18"/>
                <w:szCs w:val="18"/>
              </w:rPr>
            </w:pPr>
            <w:r w:rsidRPr="009A0A82">
              <w:rPr>
                <w:sz w:val="18"/>
                <w:szCs w:val="18"/>
              </w:rPr>
              <w:t>3758</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45</w:t>
            </w:r>
          </w:p>
        </w:tc>
        <w:tc>
          <w:tcPr>
            <w:tcW w:w="686" w:type="pct"/>
            <w:gridSpan w:val="2"/>
            <w:tcBorders>
              <w:top w:val="nil"/>
              <w:left w:val="nil"/>
              <w:bottom w:val="nil"/>
              <w:right w:val="nil"/>
            </w:tcBorders>
            <w:shd w:val="clear" w:color="auto" w:fill="auto"/>
            <w:vAlign w:val="center"/>
          </w:tcPr>
          <w:p w14:paraId="5AA75447" w14:textId="127AC01B" w:rsidR="00203457" w:rsidRPr="009A0A82" w:rsidRDefault="00203457" w:rsidP="00203457">
            <w:pPr>
              <w:spacing w:line="480" w:lineRule="auto"/>
              <w:jc w:val="center"/>
              <w:rPr>
                <w:sz w:val="18"/>
                <w:szCs w:val="18"/>
              </w:rPr>
            </w:pPr>
            <w:r w:rsidRPr="009A0A82">
              <w:rPr>
                <w:sz w:val="18"/>
                <w:szCs w:val="18"/>
              </w:rPr>
              <w:t>9.2</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bCs/>
                <w:sz w:val="18"/>
                <w:szCs w:val="18"/>
              </w:rPr>
              <w:t>0.03</w:t>
            </w:r>
          </w:p>
        </w:tc>
        <w:tc>
          <w:tcPr>
            <w:tcW w:w="414" w:type="pct"/>
            <w:gridSpan w:val="3"/>
            <w:tcBorders>
              <w:top w:val="nil"/>
              <w:left w:val="nil"/>
              <w:bottom w:val="nil"/>
              <w:right w:val="nil"/>
            </w:tcBorders>
            <w:vAlign w:val="center"/>
          </w:tcPr>
          <w:p w14:paraId="605902C1" w14:textId="33E80DD1" w:rsidR="00203457" w:rsidRPr="009A0A82" w:rsidRDefault="00203457" w:rsidP="00203457">
            <w:pPr>
              <w:spacing w:line="480" w:lineRule="auto"/>
              <w:jc w:val="center"/>
              <w:rPr>
                <w:sz w:val="18"/>
                <w:szCs w:val="18"/>
              </w:rPr>
            </w:pPr>
            <w:r w:rsidRPr="009A0A82">
              <w:rPr>
                <w:sz w:val="18"/>
                <w:szCs w:val="18"/>
              </w:rPr>
              <w:t>19.0</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0.56</w:t>
            </w:r>
          </w:p>
        </w:tc>
        <w:tc>
          <w:tcPr>
            <w:tcW w:w="342" w:type="pct"/>
            <w:tcBorders>
              <w:top w:val="nil"/>
              <w:left w:val="nil"/>
              <w:bottom w:val="nil"/>
              <w:right w:val="nil"/>
            </w:tcBorders>
            <w:vAlign w:val="center"/>
          </w:tcPr>
          <w:p w14:paraId="51CB9395" w14:textId="0D1C2FF4" w:rsidR="00203457" w:rsidRPr="009A0A82" w:rsidRDefault="00203457" w:rsidP="00203457">
            <w:pPr>
              <w:spacing w:line="480" w:lineRule="auto"/>
              <w:jc w:val="center"/>
              <w:rPr>
                <w:sz w:val="18"/>
                <w:szCs w:val="18"/>
              </w:rPr>
            </w:pPr>
            <w:r w:rsidRPr="009A0A82">
              <w:rPr>
                <w:sz w:val="18"/>
                <w:szCs w:val="18"/>
              </w:rPr>
              <w:t>873</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25</w:t>
            </w:r>
          </w:p>
        </w:tc>
        <w:tc>
          <w:tcPr>
            <w:tcW w:w="480" w:type="pct"/>
            <w:tcBorders>
              <w:top w:val="nil"/>
              <w:left w:val="nil"/>
              <w:bottom w:val="nil"/>
              <w:right w:val="nil"/>
            </w:tcBorders>
            <w:vAlign w:val="center"/>
          </w:tcPr>
          <w:p w14:paraId="09E9A36F" w14:textId="0020875D" w:rsidR="00203457" w:rsidRPr="009A0A82" w:rsidRDefault="00203457" w:rsidP="00203457">
            <w:pPr>
              <w:spacing w:line="480" w:lineRule="auto"/>
              <w:jc w:val="center"/>
              <w:rPr>
                <w:sz w:val="18"/>
                <w:szCs w:val="18"/>
              </w:rPr>
            </w:pPr>
            <w:r w:rsidRPr="009A0A82">
              <w:rPr>
                <w:sz w:val="18"/>
                <w:szCs w:val="18"/>
              </w:rPr>
              <w:t>3.24</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0.04</w:t>
            </w:r>
          </w:p>
        </w:tc>
      </w:tr>
      <w:tr w:rsidR="001E7DCA" w:rsidRPr="000412A1" w14:paraId="1279B14D" w14:textId="77777777" w:rsidTr="009A0A82">
        <w:trPr>
          <w:trHeight w:val="472"/>
        </w:trPr>
        <w:tc>
          <w:tcPr>
            <w:tcW w:w="343" w:type="pct"/>
            <w:tcBorders>
              <w:top w:val="nil"/>
              <w:left w:val="nil"/>
              <w:bottom w:val="nil"/>
              <w:right w:val="nil"/>
            </w:tcBorders>
            <w:vAlign w:val="center"/>
          </w:tcPr>
          <w:p w14:paraId="3153707E" w14:textId="77777777" w:rsidR="00203457" w:rsidRPr="009A0A82" w:rsidRDefault="00203457" w:rsidP="00203457">
            <w:pPr>
              <w:spacing w:line="480" w:lineRule="auto"/>
              <w:jc w:val="center"/>
              <w:rPr>
                <w:b/>
                <w:sz w:val="18"/>
                <w:szCs w:val="18"/>
              </w:rPr>
            </w:pPr>
            <w:r w:rsidRPr="009A0A82">
              <w:rPr>
                <w:b/>
                <w:sz w:val="18"/>
                <w:szCs w:val="18"/>
              </w:rPr>
              <w:t>P3</w:t>
            </w:r>
          </w:p>
        </w:tc>
        <w:tc>
          <w:tcPr>
            <w:tcW w:w="820" w:type="pct"/>
            <w:tcBorders>
              <w:top w:val="nil"/>
              <w:left w:val="nil"/>
              <w:bottom w:val="nil"/>
              <w:right w:val="nil"/>
            </w:tcBorders>
          </w:tcPr>
          <w:p w14:paraId="690F5B93" w14:textId="50FE4B7B" w:rsidR="00203457" w:rsidRPr="009A0A82" w:rsidRDefault="00203457" w:rsidP="00203457">
            <w:pPr>
              <w:spacing w:line="480" w:lineRule="auto"/>
              <w:jc w:val="center"/>
              <w:rPr>
                <w:bCs/>
                <w:sz w:val="18"/>
                <w:szCs w:val="18"/>
              </w:rPr>
            </w:pPr>
            <w:r w:rsidRPr="009A0A82">
              <w:rPr>
                <w:bCs/>
                <w:sz w:val="18"/>
                <w:szCs w:val="18"/>
              </w:rPr>
              <w:t>11.4</w:t>
            </w:r>
            <w:r w:rsidR="001E7DCA" w:rsidRPr="009A0A82">
              <w:rPr>
                <w:bCs/>
                <w:sz w:val="18"/>
                <w:szCs w:val="18"/>
              </w:rPr>
              <w:t xml:space="preserve"> </w:t>
            </w:r>
            <w:r w:rsidRPr="009A0A82">
              <w:rPr>
                <w:bCs/>
                <w:sz w:val="18"/>
                <w:szCs w:val="18"/>
              </w:rPr>
              <w:t>±</w:t>
            </w:r>
            <w:r w:rsidR="001E7DCA" w:rsidRPr="009A0A82">
              <w:rPr>
                <w:bCs/>
                <w:sz w:val="18"/>
                <w:szCs w:val="18"/>
              </w:rPr>
              <w:t xml:space="preserve"> </w:t>
            </w:r>
            <w:r w:rsidRPr="009A0A82">
              <w:rPr>
                <w:bCs/>
                <w:sz w:val="18"/>
                <w:szCs w:val="18"/>
              </w:rPr>
              <w:t>0.01</w:t>
            </w:r>
          </w:p>
        </w:tc>
        <w:tc>
          <w:tcPr>
            <w:tcW w:w="753" w:type="pct"/>
            <w:tcBorders>
              <w:top w:val="nil"/>
              <w:left w:val="nil"/>
              <w:bottom w:val="nil"/>
              <w:right w:val="nil"/>
            </w:tcBorders>
          </w:tcPr>
          <w:p w14:paraId="0D391363" w14:textId="70C954CA" w:rsidR="00203457" w:rsidRPr="009A0A82" w:rsidRDefault="00203457" w:rsidP="00203457">
            <w:pPr>
              <w:spacing w:line="480" w:lineRule="auto"/>
              <w:jc w:val="center"/>
              <w:rPr>
                <w:sz w:val="18"/>
                <w:szCs w:val="18"/>
              </w:rPr>
            </w:pPr>
            <w:r w:rsidRPr="009A0A82">
              <w:rPr>
                <w:sz w:val="18"/>
                <w:szCs w:val="18"/>
              </w:rPr>
              <w:t>36.7</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0.65</w:t>
            </w:r>
          </w:p>
        </w:tc>
        <w:tc>
          <w:tcPr>
            <w:tcW w:w="615" w:type="pct"/>
            <w:tcBorders>
              <w:top w:val="nil"/>
              <w:left w:val="nil"/>
              <w:bottom w:val="nil"/>
              <w:right w:val="nil"/>
            </w:tcBorders>
            <w:vAlign w:val="center"/>
          </w:tcPr>
          <w:p w14:paraId="61A96F8A" w14:textId="73EB90B7" w:rsidR="00203457" w:rsidRPr="009A0A82" w:rsidRDefault="00203457" w:rsidP="00203457">
            <w:pPr>
              <w:spacing w:line="480" w:lineRule="auto"/>
              <w:jc w:val="center"/>
              <w:rPr>
                <w:sz w:val="18"/>
                <w:szCs w:val="18"/>
              </w:rPr>
            </w:pPr>
            <w:r w:rsidRPr="009A0A82">
              <w:rPr>
                <w:sz w:val="18"/>
                <w:szCs w:val="18"/>
              </w:rPr>
              <w:t>29.9</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1.01</w:t>
            </w:r>
          </w:p>
        </w:tc>
        <w:tc>
          <w:tcPr>
            <w:tcW w:w="547" w:type="pct"/>
            <w:tcBorders>
              <w:top w:val="nil"/>
              <w:left w:val="nil"/>
              <w:bottom w:val="nil"/>
              <w:right w:val="nil"/>
            </w:tcBorders>
          </w:tcPr>
          <w:p w14:paraId="3C28F246" w14:textId="7732B918" w:rsidR="00203457" w:rsidRPr="009A0A82" w:rsidRDefault="00203457" w:rsidP="00203457">
            <w:pPr>
              <w:spacing w:line="480" w:lineRule="auto"/>
              <w:jc w:val="center"/>
              <w:rPr>
                <w:sz w:val="18"/>
                <w:szCs w:val="18"/>
              </w:rPr>
            </w:pPr>
            <w:r w:rsidRPr="009A0A82">
              <w:rPr>
                <w:sz w:val="18"/>
                <w:szCs w:val="18"/>
              </w:rPr>
              <w:t>3752</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68</w:t>
            </w:r>
          </w:p>
        </w:tc>
        <w:tc>
          <w:tcPr>
            <w:tcW w:w="686" w:type="pct"/>
            <w:gridSpan w:val="2"/>
            <w:tcBorders>
              <w:top w:val="nil"/>
              <w:left w:val="nil"/>
              <w:bottom w:val="nil"/>
              <w:right w:val="nil"/>
            </w:tcBorders>
            <w:shd w:val="clear" w:color="auto" w:fill="auto"/>
            <w:vAlign w:val="center"/>
          </w:tcPr>
          <w:p w14:paraId="09E34BEA" w14:textId="41092473" w:rsidR="00203457" w:rsidRPr="009A0A82" w:rsidRDefault="00203457" w:rsidP="00203457">
            <w:pPr>
              <w:spacing w:line="480" w:lineRule="auto"/>
              <w:jc w:val="center"/>
              <w:rPr>
                <w:sz w:val="18"/>
                <w:szCs w:val="18"/>
              </w:rPr>
            </w:pPr>
            <w:r w:rsidRPr="009A0A82">
              <w:rPr>
                <w:sz w:val="18"/>
                <w:szCs w:val="18"/>
              </w:rPr>
              <w:t>9.8</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bCs/>
                <w:sz w:val="18"/>
                <w:szCs w:val="18"/>
              </w:rPr>
              <w:t>0.02</w:t>
            </w:r>
          </w:p>
        </w:tc>
        <w:tc>
          <w:tcPr>
            <w:tcW w:w="414" w:type="pct"/>
            <w:gridSpan w:val="3"/>
            <w:tcBorders>
              <w:top w:val="nil"/>
              <w:left w:val="nil"/>
              <w:bottom w:val="nil"/>
              <w:right w:val="nil"/>
            </w:tcBorders>
            <w:vAlign w:val="center"/>
          </w:tcPr>
          <w:p w14:paraId="6FE3F35F" w14:textId="4D073486" w:rsidR="00203457" w:rsidRPr="009A0A82" w:rsidRDefault="00203457" w:rsidP="00203457">
            <w:pPr>
              <w:spacing w:line="480" w:lineRule="auto"/>
              <w:jc w:val="center"/>
              <w:rPr>
                <w:sz w:val="18"/>
                <w:szCs w:val="18"/>
              </w:rPr>
            </w:pPr>
            <w:r w:rsidRPr="009A0A82">
              <w:rPr>
                <w:sz w:val="18"/>
                <w:szCs w:val="18"/>
              </w:rPr>
              <w:t>18.8</w:t>
            </w:r>
            <w:r w:rsidR="001E7DCA" w:rsidRPr="009B760B">
              <w:rPr>
                <w:sz w:val="18"/>
                <w:szCs w:val="18"/>
              </w:rPr>
              <w:t xml:space="preserve"> </w:t>
            </w:r>
            <w:r w:rsidRPr="009A0A82">
              <w:rPr>
                <w:sz w:val="18"/>
                <w:szCs w:val="18"/>
              </w:rPr>
              <w:t>±</w:t>
            </w:r>
            <w:r w:rsidR="001E7DCA" w:rsidRPr="009B760B">
              <w:rPr>
                <w:sz w:val="18"/>
                <w:szCs w:val="18"/>
              </w:rPr>
              <w:t xml:space="preserve"> </w:t>
            </w:r>
            <w:r w:rsidRPr="009A0A82">
              <w:rPr>
                <w:sz w:val="18"/>
                <w:szCs w:val="18"/>
              </w:rPr>
              <w:t>0.68</w:t>
            </w:r>
          </w:p>
        </w:tc>
        <w:tc>
          <w:tcPr>
            <w:tcW w:w="342" w:type="pct"/>
            <w:tcBorders>
              <w:top w:val="nil"/>
              <w:left w:val="nil"/>
              <w:bottom w:val="nil"/>
              <w:right w:val="nil"/>
            </w:tcBorders>
            <w:vAlign w:val="center"/>
          </w:tcPr>
          <w:p w14:paraId="16FC7987" w14:textId="7EABE277" w:rsidR="00203457" w:rsidRPr="009A0A82" w:rsidRDefault="00203457" w:rsidP="00203457">
            <w:pPr>
              <w:spacing w:line="480" w:lineRule="auto"/>
              <w:jc w:val="center"/>
              <w:rPr>
                <w:sz w:val="18"/>
                <w:szCs w:val="18"/>
              </w:rPr>
            </w:pPr>
            <w:r w:rsidRPr="009A0A82">
              <w:rPr>
                <w:sz w:val="18"/>
                <w:szCs w:val="18"/>
              </w:rPr>
              <w:t>753</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28</w:t>
            </w:r>
          </w:p>
        </w:tc>
        <w:tc>
          <w:tcPr>
            <w:tcW w:w="480" w:type="pct"/>
            <w:tcBorders>
              <w:top w:val="nil"/>
              <w:left w:val="nil"/>
              <w:bottom w:val="nil"/>
              <w:right w:val="nil"/>
            </w:tcBorders>
            <w:vAlign w:val="center"/>
          </w:tcPr>
          <w:p w14:paraId="6ECEE6D0" w14:textId="783BF672" w:rsidR="00203457" w:rsidRPr="009A0A82" w:rsidRDefault="00203457" w:rsidP="00203457">
            <w:pPr>
              <w:spacing w:line="480" w:lineRule="auto"/>
              <w:jc w:val="center"/>
              <w:rPr>
                <w:sz w:val="18"/>
                <w:szCs w:val="18"/>
              </w:rPr>
            </w:pPr>
            <w:r w:rsidRPr="009A0A82">
              <w:rPr>
                <w:sz w:val="18"/>
                <w:szCs w:val="18"/>
              </w:rPr>
              <w:t>3.00</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0.08</w:t>
            </w:r>
          </w:p>
        </w:tc>
      </w:tr>
      <w:tr w:rsidR="001E7DCA" w:rsidRPr="000412A1" w14:paraId="130D0500" w14:textId="77777777" w:rsidTr="009A0A82">
        <w:trPr>
          <w:trHeight w:val="472"/>
        </w:trPr>
        <w:tc>
          <w:tcPr>
            <w:tcW w:w="343" w:type="pct"/>
            <w:tcBorders>
              <w:top w:val="nil"/>
              <w:left w:val="nil"/>
              <w:bottom w:val="nil"/>
              <w:right w:val="nil"/>
            </w:tcBorders>
            <w:vAlign w:val="center"/>
          </w:tcPr>
          <w:p w14:paraId="619394A3" w14:textId="77777777" w:rsidR="00203457" w:rsidRPr="009A0A82" w:rsidRDefault="00203457" w:rsidP="00203457">
            <w:pPr>
              <w:spacing w:line="480" w:lineRule="auto"/>
              <w:jc w:val="center"/>
              <w:rPr>
                <w:b/>
                <w:sz w:val="18"/>
                <w:szCs w:val="18"/>
              </w:rPr>
            </w:pPr>
            <w:r w:rsidRPr="009A0A82">
              <w:rPr>
                <w:b/>
                <w:sz w:val="18"/>
                <w:szCs w:val="18"/>
              </w:rPr>
              <w:t>P4</w:t>
            </w:r>
          </w:p>
        </w:tc>
        <w:tc>
          <w:tcPr>
            <w:tcW w:w="820" w:type="pct"/>
            <w:tcBorders>
              <w:top w:val="nil"/>
              <w:left w:val="nil"/>
              <w:bottom w:val="nil"/>
              <w:right w:val="nil"/>
            </w:tcBorders>
          </w:tcPr>
          <w:p w14:paraId="75BA1DDC" w14:textId="670A50C2" w:rsidR="00203457" w:rsidRPr="009A0A82" w:rsidRDefault="00203457" w:rsidP="00203457">
            <w:pPr>
              <w:spacing w:line="480" w:lineRule="auto"/>
              <w:jc w:val="center"/>
              <w:rPr>
                <w:bCs/>
                <w:sz w:val="18"/>
                <w:szCs w:val="18"/>
              </w:rPr>
            </w:pPr>
            <w:r w:rsidRPr="009A0A82">
              <w:rPr>
                <w:bCs/>
                <w:sz w:val="18"/>
                <w:szCs w:val="18"/>
              </w:rPr>
              <w:t>18.8</w:t>
            </w:r>
            <w:r w:rsidR="001E7DCA" w:rsidRPr="009A0A82">
              <w:rPr>
                <w:bCs/>
                <w:sz w:val="18"/>
                <w:szCs w:val="18"/>
              </w:rPr>
              <w:t xml:space="preserve"> </w:t>
            </w:r>
            <w:r w:rsidRPr="009A0A82">
              <w:rPr>
                <w:bCs/>
                <w:sz w:val="18"/>
                <w:szCs w:val="18"/>
              </w:rPr>
              <w:t>±</w:t>
            </w:r>
            <w:r w:rsidR="001E7DCA" w:rsidRPr="009A0A82">
              <w:rPr>
                <w:bCs/>
                <w:sz w:val="18"/>
                <w:szCs w:val="18"/>
              </w:rPr>
              <w:t xml:space="preserve"> </w:t>
            </w:r>
            <w:r w:rsidRPr="009A0A82">
              <w:rPr>
                <w:bCs/>
                <w:sz w:val="18"/>
                <w:szCs w:val="18"/>
              </w:rPr>
              <w:t>0.01</w:t>
            </w:r>
          </w:p>
        </w:tc>
        <w:tc>
          <w:tcPr>
            <w:tcW w:w="753" w:type="pct"/>
            <w:tcBorders>
              <w:top w:val="nil"/>
              <w:left w:val="nil"/>
              <w:bottom w:val="nil"/>
              <w:right w:val="nil"/>
            </w:tcBorders>
          </w:tcPr>
          <w:p w14:paraId="0018694D" w14:textId="57069E96" w:rsidR="00203457" w:rsidRPr="009A0A82" w:rsidRDefault="00203457" w:rsidP="00203457">
            <w:pPr>
              <w:spacing w:line="480" w:lineRule="auto"/>
              <w:jc w:val="center"/>
              <w:rPr>
                <w:sz w:val="18"/>
                <w:szCs w:val="18"/>
              </w:rPr>
            </w:pPr>
            <w:r w:rsidRPr="009A0A82">
              <w:rPr>
                <w:sz w:val="18"/>
                <w:szCs w:val="18"/>
              </w:rPr>
              <w:t>35.6</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0.58</w:t>
            </w:r>
          </w:p>
        </w:tc>
        <w:tc>
          <w:tcPr>
            <w:tcW w:w="615" w:type="pct"/>
            <w:tcBorders>
              <w:top w:val="nil"/>
              <w:left w:val="nil"/>
              <w:bottom w:val="nil"/>
              <w:right w:val="nil"/>
            </w:tcBorders>
            <w:vAlign w:val="center"/>
          </w:tcPr>
          <w:p w14:paraId="438C637F" w14:textId="19F55B65" w:rsidR="00203457" w:rsidRPr="009A0A82" w:rsidRDefault="00203457" w:rsidP="00203457">
            <w:pPr>
              <w:spacing w:line="480" w:lineRule="auto"/>
              <w:jc w:val="center"/>
              <w:rPr>
                <w:sz w:val="18"/>
                <w:szCs w:val="18"/>
              </w:rPr>
            </w:pPr>
            <w:r w:rsidRPr="009A0A82">
              <w:rPr>
                <w:sz w:val="18"/>
                <w:szCs w:val="18"/>
              </w:rPr>
              <w:t>29.6</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0.95</w:t>
            </w:r>
          </w:p>
        </w:tc>
        <w:tc>
          <w:tcPr>
            <w:tcW w:w="547" w:type="pct"/>
            <w:tcBorders>
              <w:top w:val="nil"/>
              <w:left w:val="nil"/>
              <w:bottom w:val="nil"/>
              <w:right w:val="nil"/>
            </w:tcBorders>
          </w:tcPr>
          <w:p w14:paraId="7BD1E5A3" w14:textId="36690D5F" w:rsidR="00203457" w:rsidRPr="009A0A82" w:rsidRDefault="00203457" w:rsidP="00203457">
            <w:pPr>
              <w:spacing w:line="480" w:lineRule="auto"/>
              <w:jc w:val="center"/>
              <w:rPr>
                <w:sz w:val="18"/>
                <w:szCs w:val="18"/>
              </w:rPr>
            </w:pPr>
            <w:r w:rsidRPr="009A0A82">
              <w:rPr>
                <w:sz w:val="18"/>
                <w:szCs w:val="18"/>
              </w:rPr>
              <w:t>3803</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65</w:t>
            </w:r>
          </w:p>
        </w:tc>
        <w:tc>
          <w:tcPr>
            <w:tcW w:w="686" w:type="pct"/>
            <w:gridSpan w:val="2"/>
            <w:tcBorders>
              <w:top w:val="nil"/>
              <w:left w:val="nil"/>
              <w:bottom w:val="nil"/>
              <w:right w:val="nil"/>
            </w:tcBorders>
            <w:shd w:val="clear" w:color="auto" w:fill="auto"/>
            <w:vAlign w:val="center"/>
          </w:tcPr>
          <w:p w14:paraId="3E639846" w14:textId="4A2C7FE7" w:rsidR="00203457" w:rsidRPr="009A0A82" w:rsidRDefault="00203457" w:rsidP="00203457">
            <w:pPr>
              <w:spacing w:line="480" w:lineRule="auto"/>
              <w:jc w:val="center"/>
              <w:rPr>
                <w:sz w:val="18"/>
                <w:szCs w:val="18"/>
              </w:rPr>
            </w:pPr>
            <w:r w:rsidRPr="009A0A82">
              <w:rPr>
                <w:sz w:val="18"/>
                <w:szCs w:val="18"/>
              </w:rPr>
              <w:t>9.7</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bCs/>
                <w:sz w:val="18"/>
                <w:szCs w:val="18"/>
              </w:rPr>
              <w:t>0.03</w:t>
            </w:r>
          </w:p>
        </w:tc>
        <w:tc>
          <w:tcPr>
            <w:tcW w:w="414" w:type="pct"/>
            <w:gridSpan w:val="3"/>
            <w:tcBorders>
              <w:top w:val="nil"/>
              <w:left w:val="nil"/>
              <w:bottom w:val="nil"/>
              <w:right w:val="nil"/>
            </w:tcBorders>
            <w:vAlign w:val="center"/>
          </w:tcPr>
          <w:p w14:paraId="0DD58B3A" w14:textId="1489983C" w:rsidR="00203457" w:rsidRPr="009A0A82" w:rsidRDefault="00203457" w:rsidP="00203457">
            <w:pPr>
              <w:spacing w:line="480" w:lineRule="auto"/>
              <w:jc w:val="center"/>
              <w:rPr>
                <w:sz w:val="18"/>
                <w:szCs w:val="18"/>
              </w:rPr>
            </w:pPr>
            <w:r w:rsidRPr="009A0A82">
              <w:rPr>
                <w:sz w:val="18"/>
                <w:szCs w:val="18"/>
              </w:rPr>
              <w:t>18.5</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0.63</w:t>
            </w:r>
          </w:p>
        </w:tc>
        <w:tc>
          <w:tcPr>
            <w:tcW w:w="342" w:type="pct"/>
            <w:tcBorders>
              <w:top w:val="nil"/>
              <w:left w:val="nil"/>
              <w:bottom w:val="nil"/>
              <w:right w:val="nil"/>
            </w:tcBorders>
            <w:vAlign w:val="center"/>
          </w:tcPr>
          <w:p w14:paraId="544AE2B9" w14:textId="43DD54F0" w:rsidR="00203457" w:rsidRPr="009A0A82" w:rsidRDefault="00203457" w:rsidP="00203457">
            <w:pPr>
              <w:spacing w:line="480" w:lineRule="auto"/>
              <w:jc w:val="center"/>
              <w:rPr>
                <w:sz w:val="18"/>
                <w:szCs w:val="18"/>
              </w:rPr>
            </w:pPr>
            <w:r w:rsidRPr="009A0A82">
              <w:rPr>
                <w:sz w:val="18"/>
                <w:szCs w:val="18"/>
              </w:rPr>
              <w:t>625</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26</w:t>
            </w:r>
          </w:p>
        </w:tc>
        <w:tc>
          <w:tcPr>
            <w:tcW w:w="480" w:type="pct"/>
            <w:tcBorders>
              <w:top w:val="nil"/>
              <w:left w:val="nil"/>
              <w:bottom w:val="nil"/>
              <w:right w:val="nil"/>
            </w:tcBorders>
            <w:vAlign w:val="center"/>
          </w:tcPr>
          <w:p w14:paraId="57E8A4F4" w14:textId="21C27294" w:rsidR="00203457" w:rsidRPr="009A0A82" w:rsidRDefault="00203457" w:rsidP="00203457">
            <w:pPr>
              <w:spacing w:line="480" w:lineRule="auto"/>
              <w:jc w:val="center"/>
              <w:rPr>
                <w:sz w:val="18"/>
                <w:szCs w:val="18"/>
              </w:rPr>
            </w:pPr>
            <w:r w:rsidRPr="009A0A82">
              <w:rPr>
                <w:sz w:val="18"/>
                <w:szCs w:val="18"/>
              </w:rPr>
              <w:t>2.89</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0.05</w:t>
            </w:r>
          </w:p>
        </w:tc>
      </w:tr>
      <w:tr w:rsidR="001E7DCA" w:rsidRPr="000412A1" w14:paraId="6BCE31A1" w14:textId="77777777" w:rsidTr="009A0A82">
        <w:trPr>
          <w:trHeight w:val="458"/>
        </w:trPr>
        <w:tc>
          <w:tcPr>
            <w:tcW w:w="343" w:type="pct"/>
            <w:tcBorders>
              <w:top w:val="nil"/>
              <w:left w:val="nil"/>
              <w:bottom w:val="single" w:sz="4" w:space="0" w:color="auto"/>
              <w:right w:val="nil"/>
            </w:tcBorders>
            <w:vAlign w:val="center"/>
          </w:tcPr>
          <w:p w14:paraId="75859B1A" w14:textId="77777777" w:rsidR="00203457" w:rsidRPr="009A0A82" w:rsidRDefault="00203457" w:rsidP="00203457">
            <w:pPr>
              <w:spacing w:line="480" w:lineRule="auto"/>
              <w:jc w:val="center"/>
              <w:rPr>
                <w:b/>
                <w:sz w:val="18"/>
                <w:szCs w:val="18"/>
              </w:rPr>
            </w:pPr>
            <w:r w:rsidRPr="009A0A82">
              <w:rPr>
                <w:b/>
                <w:sz w:val="18"/>
                <w:szCs w:val="18"/>
              </w:rPr>
              <w:t>P5</w:t>
            </w:r>
          </w:p>
        </w:tc>
        <w:tc>
          <w:tcPr>
            <w:tcW w:w="820" w:type="pct"/>
            <w:tcBorders>
              <w:top w:val="nil"/>
              <w:left w:val="nil"/>
              <w:bottom w:val="single" w:sz="4" w:space="0" w:color="auto"/>
              <w:right w:val="nil"/>
            </w:tcBorders>
          </w:tcPr>
          <w:p w14:paraId="219C26F0" w14:textId="5DA9B103" w:rsidR="00203457" w:rsidRPr="009A0A82" w:rsidRDefault="00203457" w:rsidP="00203457">
            <w:pPr>
              <w:spacing w:line="480" w:lineRule="auto"/>
              <w:jc w:val="center"/>
              <w:rPr>
                <w:bCs/>
                <w:sz w:val="18"/>
                <w:szCs w:val="18"/>
              </w:rPr>
            </w:pPr>
            <w:r w:rsidRPr="009A0A82">
              <w:rPr>
                <w:bCs/>
                <w:sz w:val="18"/>
                <w:szCs w:val="18"/>
              </w:rPr>
              <w:t>6.8</w:t>
            </w:r>
            <w:r w:rsidR="001E7DCA" w:rsidRPr="009A0A82">
              <w:rPr>
                <w:bCs/>
                <w:sz w:val="18"/>
                <w:szCs w:val="18"/>
              </w:rPr>
              <w:t xml:space="preserve"> </w:t>
            </w:r>
            <w:r w:rsidRPr="009A0A82">
              <w:rPr>
                <w:bCs/>
                <w:sz w:val="18"/>
                <w:szCs w:val="18"/>
              </w:rPr>
              <w:t>±</w:t>
            </w:r>
            <w:r w:rsidR="001E7DCA" w:rsidRPr="009A0A82">
              <w:rPr>
                <w:bCs/>
                <w:sz w:val="18"/>
                <w:szCs w:val="18"/>
              </w:rPr>
              <w:t xml:space="preserve"> </w:t>
            </w:r>
            <w:r w:rsidRPr="009A0A82">
              <w:rPr>
                <w:bCs/>
                <w:sz w:val="18"/>
                <w:szCs w:val="18"/>
              </w:rPr>
              <w:t>0.01</w:t>
            </w:r>
          </w:p>
        </w:tc>
        <w:tc>
          <w:tcPr>
            <w:tcW w:w="753" w:type="pct"/>
            <w:tcBorders>
              <w:top w:val="nil"/>
              <w:left w:val="nil"/>
              <w:bottom w:val="single" w:sz="4" w:space="0" w:color="auto"/>
              <w:right w:val="nil"/>
            </w:tcBorders>
          </w:tcPr>
          <w:p w14:paraId="7E8E8DA4" w14:textId="51CB77AF" w:rsidR="00203457" w:rsidRPr="009A0A82" w:rsidRDefault="00203457" w:rsidP="00203457">
            <w:pPr>
              <w:spacing w:line="480" w:lineRule="auto"/>
              <w:jc w:val="center"/>
              <w:rPr>
                <w:sz w:val="18"/>
                <w:szCs w:val="18"/>
              </w:rPr>
            </w:pPr>
            <w:r w:rsidRPr="009A0A82">
              <w:rPr>
                <w:sz w:val="18"/>
                <w:szCs w:val="18"/>
              </w:rPr>
              <w:t>34.6</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0.54</w:t>
            </w:r>
          </w:p>
        </w:tc>
        <w:tc>
          <w:tcPr>
            <w:tcW w:w="615" w:type="pct"/>
            <w:tcBorders>
              <w:top w:val="nil"/>
              <w:left w:val="nil"/>
              <w:bottom w:val="single" w:sz="4" w:space="0" w:color="auto"/>
              <w:right w:val="nil"/>
            </w:tcBorders>
            <w:vAlign w:val="center"/>
          </w:tcPr>
          <w:p w14:paraId="3DDCBF38" w14:textId="539EE315" w:rsidR="00203457" w:rsidRPr="009A0A82" w:rsidRDefault="00203457" w:rsidP="00203457">
            <w:pPr>
              <w:spacing w:line="480" w:lineRule="auto"/>
              <w:jc w:val="center"/>
              <w:rPr>
                <w:sz w:val="18"/>
                <w:szCs w:val="18"/>
              </w:rPr>
            </w:pPr>
            <w:r w:rsidRPr="009A0A82">
              <w:rPr>
                <w:sz w:val="18"/>
                <w:szCs w:val="18"/>
              </w:rPr>
              <w:t>28.7</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1.02</w:t>
            </w:r>
          </w:p>
        </w:tc>
        <w:tc>
          <w:tcPr>
            <w:tcW w:w="547" w:type="pct"/>
            <w:tcBorders>
              <w:top w:val="nil"/>
              <w:left w:val="nil"/>
              <w:bottom w:val="single" w:sz="4" w:space="0" w:color="auto"/>
              <w:right w:val="nil"/>
            </w:tcBorders>
          </w:tcPr>
          <w:p w14:paraId="58A09DE2" w14:textId="5774C9A8" w:rsidR="00203457" w:rsidRPr="009A0A82" w:rsidRDefault="00203457" w:rsidP="00203457">
            <w:pPr>
              <w:spacing w:line="480" w:lineRule="auto"/>
              <w:jc w:val="center"/>
              <w:rPr>
                <w:sz w:val="18"/>
                <w:szCs w:val="18"/>
              </w:rPr>
            </w:pPr>
            <w:r w:rsidRPr="009A0A82">
              <w:rPr>
                <w:sz w:val="18"/>
                <w:szCs w:val="18"/>
              </w:rPr>
              <w:t>3934</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sz w:val="18"/>
                <w:szCs w:val="18"/>
              </w:rPr>
              <w:t>50</w:t>
            </w:r>
          </w:p>
        </w:tc>
        <w:tc>
          <w:tcPr>
            <w:tcW w:w="686" w:type="pct"/>
            <w:gridSpan w:val="2"/>
            <w:tcBorders>
              <w:top w:val="nil"/>
              <w:left w:val="nil"/>
              <w:bottom w:val="single" w:sz="4" w:space="0" w:color="auto"/>
              <w:right w:val="nil"/>
            </w:tcBorders>
            <w:shd w:val="clear" w:color="auto" w:fill="auto"/>
            <w:vAlign w:val="center"/>
          </w:tcPr>
          <w:p w14:paraId="24D5DF70" w14:textId="625BB198" w:rsidR="00203457" w:rsidRPr="009A0A82" w:rsidRDefault="00203457" w:rsidP="00203457">
            <w:pPr>
              <w:spacing w:line="480" w:lineRule="auto"/>
              <w:jc w:val="center"/>
              <w:rPr>
                <w:sz w:val="18"/>
                <w:szCs w:val="18"/>
              </w:rPr>
            </w:pPr>
            <w:r w:rsidRPr="009A0A82">
              <w:rPr>
                <w:sz w:val="18"/>
                <w:szCs w:val="18"/>
              </w:rPr>
              <w:t>22.2</w:t>
            </w:r>
            <w:r w:rsidR="001E7DCA" w:rsidRPr="009A0A82">
              <w:rPr>
                <w:sz w:val="18"/>
                <w:szCs w:val="18"/>
              </w:rPr>
              <w:t xml:space="preserve"> </w:t>
            </w:r>
            <w:r w:rsidRPr="009A0A82">
              <w:rPr>
                <w:sz w:val="18"/>
                <w:szCs w:val="18"/>
              </w:rPr>
              <w:t>±</w:t>
            </w:r>
            <w:r w:rsidR="001E7DCA" w:rsidRPr="009A0A82">
              <w:rPr>
                <w:sz w:val="18"/>
                <w:szCs w:val="18"/>
              </w:rPr>
              <w:t xml:space="preserve"> </w:t>
            </w:r>
            <w:r w:rsidRPr="009A0A82">
              <w:rPr>
                <w:bCs/>
                <w:sz w:val="18"/>
                <w:szCs w:val="18"/>
              </w:rPr>
              <w:t>0.02</w:t>
            </w:r>
          </w:p>
        </w:tc>
        <w:tc>
          <w:tcPr>
            <w:tcW w:w="414" w:type="pct"/>
            <w:gridSpan w:val="3"/>
            <w:tcBorders>
              <w:top w:val="nil"/>
              <w:left w:val="nil"/>
              <w:bottom w:val="single" w:sz="4" w:space="0" w:color="auto"/>
              <w:right w:val="nil"/>
            </w:tcBorders>
            <w:vAlign w:val="center"/>
          </w:tcPr>
          <w:p w14:paraId="3BE99A96" w14:textId="1E9E5B59" w:rsidR="00203457" w:rsidRPr="009A0A82" w:rsidRDefault="00203457" w:rsidP="00203457">
            <w:pPr>
              <w:spacing w:line="480" w:lineRule="auto"/>
              <w:jc w:val="center"/>
              <w:rPr>
                <w:sz w:val="18"/>
                <w:szCs w:val="18"/>
              </w:rPr>
            </w:pPr>
            <w:r w:rsidRPr="009A0A82">
              <w:rPr>
                <w:sz w:val="18"/>
                <w:szCs w:val="18"/>
              </w:rPr>
              <w:t>12.0</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0.59</w:t>
            </w:r>
          </w:p>
        </w:tc>
        <w:tc>
          <w:tcPr>
            <w:tcW w:w="342" w:type="pct"/>
            <w:tcBorders>
              <w:top w:val="nil"/>
              <w:left w:val="nil"/>
              <w:bottom w:val="single" w:sz="4" w:space="0" w:color="auto"/>
              <w:right w:val="nil"/>
            </w:tcBorders>
            <w:vAlign w:val="center"/>
          </w:tcPr>
          <w:p w14:paraId="0BDC509A" w14:textId="4276B9BA" w:rsidR="00203457" w:rsidRPr="009A0A82" w:rsidRDefault="00203457" w:rsidP="00203457">
            <w:pPr>
              <w:spacing w:line="480" w:lineRule="auto"/>
              <w:jc w:val="center"/>
              <w:rPr>
                <w:sz w:val="18"/>
                <w:szCs w:val="18"/>
              </w:rPr>
            </w:pPr>
            <w:r w:rsidRPr="009A0A82">
              <w:rPr>
                <w:sz w:val="18"/>
                <w:szCs w:val="18"/>
              </w:rPr>
              <w:t>348</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35</w:t>
            </w:r>
          </w:p>
        </w:tc>
        <w:tc>
          <w:tcPr>
            <w:tcW w:w="480" w:type="pct"/>
            <w:tcBorders>
              <w:top w:val="nil"/>
              <w:left w:val="nil"/>
              <w:bottom w:val="single" w:sz="4" w:space="0" w:color="auto"/>
              <w:right w:val="nil"/>
            </w:tcBorders>
            <w:vAlign w:val="center"/>
          </w:tcPr>
          <w:p w14:paraId="1E0CCAD6" w14:textId="630FCDF5" w:rsidR="00203457" w:rsidRPr="009A0A82" w:rsidRDefault="00203457" w:rsidP="00203457">
            <w:pPr>
              <w:spacing w:line="480" w:lineRule="auto"/>
              <w:jc w:val="center"/>
              <w:rPr>
                <w:sz w:val="18"/>
                <w:szCs w:val="18"/>
              </w:rPr>
            </w:pPr>
            <w:r w:rsidRPr="009A0A82">
              <w:rPr>
                <w:sz w:val="18"/>
                <w:szCs w:val="18"/>
              </w:rPr>
              <w:t>2.02</w:t>
            </w:r>
            <w:r w:rsidR="001E7DCA" w:rsidRPr="000412A1">
              <w:rPr>
                <w:sz w:val="18"/>
                <w:szCs w:val="18"/>
              </w:rPr>
              <w:t xml:space="preserve"> </w:t>
            </w:r>
            <w:r w:rsidRPr="009A0A82">
              <w:rPr>
                <w:sz w:val="18"/>
                <w:szCs w:val="18"/>
              </w:rPr>
              <w:t>±</w:t>
            </w:r>
            <w:r w:rsidR="001E7DCA" w:rsidRPr="000412A1">
              <w:rPr>
                <w:sz w:val="18"/>
                <w:szCs w:val="18"/>
              </w:rPr>
              <w:t xml:space="preserve"> </w:t>
            </w:r>
            <w:r w:rsidRPr="009A0A82">
              <w:rPr>
                <w:sz w:val="18"/>
                <w:szCs w:val="18"/>
              </w:rPr>
              <w:t>0.03</w:t>
            </w:r>
          </w:p>
        </w:tc>
      </w:tr>
    </w:tbl>
    <w:p w14:paraId="5822E504" w14:textId="77777777" w:rsidR="00203457" w:rsidRPr="000412A1" w:rsidRDefault="00203457" w:rsidP="00C012DA">
      <w:pPr>
        <w:spacing w:after="160" w:line="480" w:lineRule="auto"/>
        <w:rPr>
          <w:sz w:val="22"/>
          <w:szCs w:val="22"/>
        </w:rPr>
      </w:pPr>
    </w:p>
    <w:p w14:paraId="23BA7B94" w14:textId="7197EB88" w:rsidR="00DA6FFB" w:rsidRPr="000412A1" w:rsidRDefault="0027131A" w:rsidP="00C012DA">
      <w:pPr>
        <w:spacing w:after="160" w:line="480" w:lineRule="auto"/>
        <w:rPr>
          <w:sz w:val="22"/>
          <w:szCs w:val="22"/>
        </w:rPr>
      </w:pPr>
      <w:r w:rsidRPr="000412A1">
        <w:rPr>
          <w:sz w:val="22"/>
          <w:szCs w:val="22"/>
        </w:rPr>
        <w:fldChar w:fldCharType="begin" w:fldLock="1"/>
      </w:r>
      <w:r w:rsidR="00A07857" w:rsidRPr="000412A1">
        <w:rPr>
          <w:sz w:val="22"/>
          <w:szCs w:val="22"/>
        </w:rPr>
        <w:instrText>ADDIN CSL_CITATION { "citationItems" : [ { "id" : "ITEM-1", "itemData" : { "DOI" : "10.1016/j.watres.2019.115035", "ISSN" : "18792448", "abstract" : "Stabilization of waste activated sludge (WAS) is an essential step for the disposal or reuse. In this study, WAS stabilization via electrochemical pretreatment (EPT) at 0\u201315V was evaluated for simultaneous dewaterability enhancement, pathogen removal and H2S mitigation. The mechanism underlying EPT was investigated and discussed based on the changes in the physicochemical (e.g., particle size, zeta potential, hydrophobicity and extracellular polymeric substances) and biological characteristics (i.e. cell morphology, and distribution and percentages of live/dead cells) of WAS with different EPT voltages. The results revealed that EPT disintegrated WAS flocs and disrupted the cell walls leading to a reduction in particle size (by up to 50%), increased release of extracellular and intracellular substances (by up to 4 times) to facilitate WAS stabilization. With EPT at 15V, the capillary suction time of WAS decreased by 42%, and the concentrations of E. coli and indicator pathogens (Salmonella spp. and Streptococcus faecalis) fell by nearly 5 log10 reaching U.S. EPA hygienization levels. Furthermore, EPT at 12V or higher suppressed the amounts of dissolved sulfide and H2S(g) produced from the WAS under anaerobic conditions by over 99%. This study demonstrates the feasibility of EPT for simultaneous WAS dewaterability enhancement, pathogen inactivation and H2S mitigation, providing a one-step alternative for sludge stabilization.", "author" : [ { "dropping-particle" : "", "family" : "Zeng", "given" : "Qian", "non-dropping-particle" : "", "parse-names" : false, "suffix" : "" }, { "dropping-particle" : "", "family" : "Zan", "given" : "Feixiang", "non-dropping-particle" : "", "parse-names" : false, "suffix" : "" }, { "dropping-particle" : "", "family" : "Hao", "given" : "Tianwei", "non-dropping-particle" : "", "parse-names" : false, "suffix" : "" }, { "dropping-particle" : "", "family" : "Biswal", "given" : "Basanta Kumar", "non-dropping-particle" : "", "parse-names" : false, "suffix" : "" }, { "dropping-particle" : "", "family" : "Lin", "given" : "Sen", "non-dropping-particle" : "", "parse-names" : false, "suffix" : "" }, { "dropping-particle" : "", "family" : "Loosdrecht", "given" : "Mark C.M.", "non-dropping-particle" : "van", "parse-names" : false, "suffix" : "" }, { "dropping-particle" : "", "family" : "Chen", "given" : "Guanghao", "non-dropping-particle" : "", "parse-names" : false, "suffix" : "" } ], "container-title" : "Water Research", "id" : "ITEM-1", "issued" : { "date-parts" : [ [ "2019" ] ] }, "title" : "Electrochemical pretreatment for stabilization of waste activated sludge: Simultaneously enhancing dewaterability, inactivating pathogens and mitigating hydrogen sulfide", "type" : "article-journal", "volume" : "166" }, "uris" : [ "http://www.mendeley.com/documents/?uuid=53700dcb-bbc4-4cc3-9f9c-3dd13bb24565", "http://www.mendeley.com/documents/?uuid=5444a858-a516-420b-8c0b-e207f7ab3a4d", "http://www.mendeley.com/documents/?uuid=b092b50d-a514-4c28-a50b-2335e9b3bdf7" ] } ], "mendeley" : { "formattedCitation" : "(Zeng et al., 2019)", "manualFormatting" : "Zeng et al. (2019)", "plainTextFormattedCitation" : "(Zeng et al., 2019)", "previouslyFormattedCitation" : "(Zeng et al., 2019)" }, "properties" : {  }, "schema" : "https://github.com/citation-style-language/schema/raw/master/csl-citation.json" }</w:instrText>
      </w:r>
      <w:r w:rsidRPr="000412A1">
        <w:rPr>
          <w:sz w:val="22"/>
          <w:szCs w:val="22"/>
        </w:rPr>
        <w:fldChar w:fldCharType="separate"/>
      </w:r>
      <w:r w:rsidRPr="000412A1">
        <w:rPr>
          <w:noProof/>
          <w:sz w:val="22"/>
          <w:szCs w:val="22"/>
        </w:rPr>
        <w:t>Zeng et al. (2019)</w:t>
      </w:r>
      <w:r w:rsidRPr="000412A1">
        <w:rPr>
          <w:sz w:val="22"/>
          <w:szCs w:val="22"/>
        </w:rPr>
        <w:fldChar w:fldCharType="end"/>
      </w:r>
      <w:r w:rsidR="004A7152" w:rsidRPr="000412A1">
        <w:rPr>
          <w:sz w:val="22"/>
          <w:szCs w:val="22"/>
        </w:rPr>
        <w:t xml:space="preserve"> </w:t>
      </w:r>
      <w:r w:rsidR="00D20FFA" w:rsidRPr="000412A1">
        <w:rPr>
          <w:sz w:val="22"/>
          <w:szCs w:val="22"/>
        </w:rPr>
        <w:t xml:space="preserve">also </w:t>
      </w:r>
      <w:r w:rsidRPr="000412A1">
        <w:rPr>
          <w:sz w:val="22"/>
          <w:szCs w:val="22"/>
        </w:rPr>
        <w:t xml:space="preserve">observed a </w:t>
      </w:r>
      <w:r w:rsidR="00961F14" w:rsidRPr="000412A1">
        <w:rPr>
          <w:sz w:val="22"/>
          <w:szCs w:val="22"/>
        </w:rPr>
        <w:t xml:space="preserve">decrease </w:t>
      </w:r>
      <w:r w:rsidR="00DA6FFB" w:rsidRPr="000412A1">
        <w:rPr>
          <w:sz w:val="22"/>
          <w:szCs w:val="22"/>
        </w:rPr>
        <w:t xml:space="preserve">in </w:t>
      </w:r>
      <w:r w:rsidR="004A7152" w:rsidRPr="000412A1">
        <w:rPr>
          <w:sz w:val="22"/>
          <w:szCs w:val="22"/>
        </w:rPr>
        <w:t>volume</w:t>
      </w:r>
      <w:r w:rsidR="00DA6FFB" w:rsidRPr="000412A1">
        <w:rPr>
          <w:sz w:val="22"/>
          <w:szCs w:val="22"/>
        </w:rPr>
        <w:t>tric</w:t>
      </w:r>
      <w:r w:rsidR="00FD7C26" w:rsidRPr="00FD7C26">
        <w:rPr>
          <w:sz w:val="22"/>
          <w:szCs w:val="22"/>
        </w:rPr>
        <w:t xml:space="preserve"> </w:t>
      </w:r>
      <w:r w:rsidR="00FD7C26" w:rsidRPr="000412A1">
        <w:rPr>
          <w:sz w:val="22"/>
          <w:szCs w:val="22"/>
        </w:rPr>
        <w:t>particle</w:t>
      </w:r>
      <w:r w:rsidR="004B6B56">
        <w:rPr>
          <w:sz w:val="22"/>
          <w:szCs w:val="22"/>
        </w:rPr>
        <w:t xml:space="preserve"> </w:t>
      </w:r>
      <w:r w:rsidR="00FD7C26" w:rsidRPr="000412A1">
        <w:rPr>
          <w:sz w:val="22"/>
          <w:szCs w:val="22"/>
        </w:rPr>
        <w:t>size</w:t>
      </w:r>
      <w:r w:rsidR="004A7152" w:rsidRPr="000412A1">
        <w:rPr>
          <w:sz w:val="22"/>
          <w:szCs w:val="22"/>
        </w:rPr>
        <w:t xml:space="preserve"> percentage </w:t>
      </w:r>
      <w:r w:rsidR="00D20FFA" w:rsidRPr="000412A1">
        <w:rPr>
          <w:sz w:val="22"/>
          <w:szCs w:val="22"/>
        </w:rPr>
        <w:t xml:space="preserve">as voltage </w:t>
      </w:r>
      <w:r w:rsidR="00DA6FFB" w:rsidRPr="000412A1">
        <w:rPr>
          <w:sz w:val="22"/>
          <w:szCs w:val="22"/>
        </w:rPr>
        <w:t>increas</w:t>
      </w:r>
      <w:r w:rsidR="00D20FFA" w:rsidRPr="000412A1">
        <w:rPr>
          <w:sz w:val="22"/>
          <w:szCs w:val="22"/>
        </w:rPr>
        <w:t>ed</w:t>
      </w:r>
      <w:r w:rsidR="00DA6FFB" w:rsidRPr="000412A1">
        <w:rPr>
          <w:sz w:val="22"/>
          <w:szCs w:val="22"/>
        </w:rPr>
        <w:t xml:space="preserve"> </w:t>
      </w:r>
      <w:r w:rsidRPr="000412A1">
        <w:rPr>
          <w:sz w:val="22"/>
          <w:szCs w:val="22"/>
        </w:rPr>
        <w:t>from 0 to 15</w:t>
      </w:r>
      <w:r w:rsidR="00837642" w:rsidRPr="000412A1">
        <w:rPr>
          <w:sz w:val="22"/>
          <w:szCs w:val="22"/>
        </w:rPr>
        <w:t xml:space="preserve"> </w:t>
      </w:r>
      <w:r w:rsidRPr="000412A1">
        <w:rPr>
          <w:sz w:val="22"/>
          <w:szCs w:val="22"/>
        </w:rPr>
        <w:t>V</w:t>
      </w:r>
      <w:r w:rsidR="00DA6FFB" w:rsidRPr="000412A1">
        <w:rPr>
          <w:sz w:val="22"/>
          <w:szCs w:val="22"/>
        </w:rPr>
        <w:t xml:space="preserve">. This </w:t>
      </w:r>
      <w:r w:rsidR="00D20FFA" w:rsidRPr="000412A1">
        <w:rPr>
          <w:sz w:val="22"/>
          <w:szCs w:val="22"/>
        </w:rPr>
        <w:t xml:space="preserve">transformation </w:t>
      </w:r>
      <w:r w:rsidR="00DA6FFB" w:rsidRPr="000412A1">
        <w:rPr>
          <w:sz w:val="22"/>
          <w:szCs w:val="22"/>
        </w:rPr>
        <w:t xml:space="preserve">was </w:t>
      </w:r>
      <w:r w:rsidR="00D20FFA" w:rsidRPr="000412A1">
        <w:rPr>
          <w:sz w:val="22"/>
          <w:szCs w:val="22"/>
        </w:rPr>
        <w:t>related to</w:t>
      </w:r>
      <w:r w:rsidR="00453308" w:rsidRPr="000412A1">
        <w:rPr>
          <w:sz w:val="22"/>
          <w:szCs w:val="22"/>
        </w:rPr>
        <w:t xml:space="preserve"> the fragmentation of sludge flocs and</w:t>
      </w:r>
      <w:r w:rsidR="00FD7C26">
        <w:rPr>
          <w:sz w:val="22"/>
          <w:szCs w:val="22"/>
        </w:rPr>
        <w:t xml:space="preserve"> the</w:t>
      </w:r>
      <w:r w:rsidR="00453308" w:rsidRPr="000412A1">
        <w:rPr>
          <w:sz w:val="22"/>
          <w:szCs w:val="22"/>
        </w:rPr>
        <w:t xml:space="preserve"> destruction of microbial cells</w:t>
      </w:r>
      <w:r w:rsidR="00FD7C26">
        <w:rPr>
          <w:sz w:val="22"/>
          <w:szCs w:val="22"/>
        </w:rPr>
        <w:t>,</w:t>
      </w:r>
      <w:r w:rsidR="00453308" w:rsidRPr="000412A1">
        <w:rPr>
          <w:sz w:val="22"/>
          <w:szCs w:val="22"/>
        </w:rPr>
        <w:t xml:space="preserve"> leading to a decrease </w:t>
      </w:r>
      <w:r w:rsidR="005412C5" w:rsidRPr="000412A1">
        <w:rPr>
          <w:sz w:val="22"/>
          <w:szCs w:val="22"/>
        </w:rPr>
        <w:t xml:space="preserve">in </w:t>
      </w:r>
      <w:r w:rsidR="00453308" w:rsidRPr="000412A1">
        <w:rPr>
          <w:sz w:val="22"/>
          <w:szCs w:val="22"/>
        </w:rPr>
        <w:t>aggregation</w:t>
      </w:r>
      <w:r w:rsidR="00D20FFA" w:rsidRPr="000412A1">
        <w:rPr>
          <w:sz w:val="22"/>
          <w:szCs w:val="22"/>
        </w:rPr>
        <w:t xml:space="preserve"> and</w:t>
      </w:r>
      <w:r w:rsidR="00FD7C26">
        <w:rPr>
          <w:sz w:val="22"/>
          <w:szCs w:val="22"/>
        </w:rPr>
        <w:t>,</w:t>
      </w:r>
      <w:r w:rsidR="00453308" w:rsidRPr="000412A1">
        <w:rPr>
          <w:sz w:val="22"/>
          <w:szCs w:val="22"/>
        </w:rPr>
        <w:t xml:space="preserve"> </w:t>
      </w:r>
      <w:r w:rsidR="00DA6FFB" w:rsidRPr="000412A1">
        <w:rPr>
          <w:sz w:val="22"/>
          <w:szCs w:val="22"/>
        </w:rPr>
        <w:t xml:space="preserve">as </w:t>
      </w:r>
      <w:r w:rsidR="00D20FFA" w:rsidRPr="000412A1">
        <w:rPr>
          <w:sz w:val="22"/>
          <w:szCs w:val="22"/>
        </w:rPr>
        <w:t xml:space="preserve">a </w:t>
      </w:r>
      <w:r w:rsidR="00DA6FFB" w:rsidRPr="000412A1">
        <w:rPr>
          <w:sz w:val="22"/>
          <w:szCs w:val="22"/>
        </w:rPr>
        <w:t>consequence</w:t>
      </w:r>
      <w:r w:rsidR="00D20FFA" w:rsidRPr="000412A1">
        <w:rPr>
          <w:sz w:val="22"/>
          <w:szCs w:val="22"/>
        </w:rPr>
        <w:t>,</w:t>
      </w:r>
      <w:r w:rsidR="00DA6FFB" w:rsidRPr="000412A1">
        <w:rPr>
          <w:sz w:val="22"/>
          <w:szCs w:val="22"/>
        </w:rPr>
        <w:t xml:space="preserve"> lower</w:t>
      </w:r>
      <w:r w:rsidR="00FE0F9E" w:rsidRPr="000412A1">
        <w:rPr>
          <w:sz w:val="22"/>
          <w:szCs w:val="22"/>
        </w:rPr>
        <w:t xml:space="preserve"> values of </w:t>
      </w:r>
      <w:r w:rsidR="00DA6FFB" w:rsidRPr="000412A1">
        <w:rPr>
          <w:sz w:val="22"/>
          <w:szCs w:val="22"/>
        </w:rPr>
        <w:t xml:space="preserve">mean </w:t>
      </w:r>
      <w:r w:rsidR="00453308" w:rsidRPr="000412A1">
        <w:rPr>
          <w:sz w:val="22"/>
          <w:szCs w:val="22"/>
        </w:rPr>
        <w:t>particle size.</w:t>
      </w:r>
      <w:r w:rsidR="00DA6FFB" w:rsidRPr="000412A1">
        <w:rPr>
          <w:sz w:val="22"/>
          <w:szCs w:val="22"/>
        </w:rPr>
        <w:t xml:space="preserve"> </w:t>
      </w:r>
    </w:p>
    <w:p w14:paraId="3E891414" w14:textId="03AF16A8" w:rsidR="002F1467" w:rsidRPr="000412A1" w:rsidRDefault="00630FF5">
      <w:pPr>
        <w:spacing w:after="160" w:line="480" w:lineRule="auto"/>
        <w:rPr>
          <w:sz w:val="22"/>
          <w:szCs w:val="22"/>
        </w:rPr>
      </w:pPr>
      <w:r w:rsidRPr="000412A1">
        <w:rPr>
          <w:sz w:val="22"/>
          <w:szCs w:val="22"/>
        </w:rPr>
        <w:t>After sludge stabili</w:t>
      </w:r>
      <w:r w:rsidR="006F7A26" w:rsidRPr="000412A1">
        <w:rPr>
          <w:sz w:val="22"/>
          <w:szCs w:val="22"/>
        </w:rPr>
        <w:t>s</w:t>
      </w:r>
      <w:r w:rsidRPr="000412A1">
        <w:rPr>
          <w:sz w:val="22"/>
          <w:szCs w:val="22"/>
        </w:rPr>
        <w:t xml:space="preserve">ation, dewatering is required for </w:t>
      </w:r>
      <w:r w:rsidR="00FD7C26" w:rsidRPr="000412A1">
        <w:rPr>
          <w:sz w:val="22"/>
          <w:szCs w:val="22"/>
        </w:rPr>
        <w:t xml:space="preserve">WAS </w:t>
      </w:r>
      <w:r w:rsidRPr="000412A1">
        <w:rPr>
          <w:sz w:val="22"/>
          <w:szCs w:val="22"/>
        </w:rPr>
        <w:t>disposal</w:t>
      </w:r>
      <w:r w:rsidR="00DA6FFB" w:rsidRPr="000412A1">
        <w:rPr>
          <w:sz w:val="22"/>
          <w:szCs w:val="22"/>
        </w:rPr>
        <w:t xml:space="preserve"> </w:t>
      </w:r>
      <w:r w:rsidR="005412C5" w:rsidRPr="000412A1">
        <w:rPr>
          <w:sz w:val="22"/>
          <w:szCs w:val="22"/>
        </w:rPr>
        <w:t xml:space="preserve">for </w:t>
      </w:r>
      <w:r w:rsidR="00DA6FFB" w:rsidRPr="000412A1">
        <w:rPr>
          <w:sz w:val="22"/>
          <w:szCs w:val="22"/>
        </w:rPr>
        <w:t>reducing handling costs</w:t>
      </w:r>
      <w:r w:rsidR="005412C5" w:rsidRPr="000412A1">
        <w:rPr>
          <w:sz w:val="22"/>
          <w:szCs w:val="22"/>
        </w:rPr>
        <w:t xml:space="preserve"> regardless of its end</w:t>
      </w:r>
      <w:r w:rsidR="001E7DCA" w:rsidRPr="000412A1">
        <w:rPr>
          <w:sz w:val="22"/>
          <w:szCs w:val="22"/>
        </w:rPr>
        <w:t xml:space="preserve"> </w:t>
      </w:r>
      <w:r w:rsidR="005412C5" w:rsidRPr="000412A1">
        <w:rPr>
          <w:sz w:val="22"/>
          <w:szCs w:val="22"/>
        </w:rPr>
        <w:t>use</w:t>
      </w:r>
      <w:r w:rsidRPr="000412A1">
        <w:rPr>
          <w:sz w:val="22"/>
          <w:szCs w:val="22"/>
        </w:rPr>
        <w:t xml:space="preserve">. </w:t>
      </w:r>
      <w:r w:rsidR="00AE1E7E" w:rsidRPr="000412A1">
        <w:rPr>
          <w:sz w:val="22"/>
          <w:szCs w:val="22"/>
        </w:rPr>
        <w:t xml:space="preserve">The main parameters related </w:t>
      </w:r>
      <w:r w:rsidR="005412C5" w:rsidRPr="000412A1">
        <w:rPr>
          <w:sz w:val="22"/>
          <w:szCs w:val="22"/>
        </w:rPr>
        <w:t xml:space="preserve">to </w:t>
      </w:r>
      <w:r w:rsidR="00CB4EEF" w:rsidRPr="000412A1">
        <w:rPr>
          <w:sz w:val="22"/>
          <w:szCs w:val="22"/>
        </w:rPr>
        <w:t>sludge dewaterability</w:t>
      </w:r>
      <w:r w:rsidR="00AE1E7E" w:rsidRPr="000412A1">
        <w:rPr>
          <w:sz w:val="22"/>
          <w:szCs w:val="22"/>
        </w:rPr>
        <w:t xml:space="preserve"> are </w:t>
      </w:r>
      <w:r w:rsidR="007E3BA6" w:rsidRPr="000412A1">
        <w:rPr>
          <w:sz w:val="22"/>
          <w:szCs w:val="22"/>
        </w:rPr>
        <w:t xml:space="preserve">also </w:t>
      </w:r>
      <w:r w:rsidR="00AE1E7E" w:rsidRPr="000412A1">
        <w:rPr>
          <w:sz w:val="22"/>
          <w:szCs w:val="22"/>
        </w:rPr>
        <w:t xml:space="preserve">summarised in Table </w:t>
      </w:r>
      <w:r w:rsidR="002F1467" w:rsidRPr="000412A1">
        <w:rPr>
          <w:sz w:val="22"/>
          <w:szCs w:val="22"/>
        </w:rPr>
        <w:t>4</w:t>
      </w:r>
      <w:r w:rsidR="00AE1E7E" w:rsidRPr="000412A1">
        <w:rPr>
          <w:sz w:val="22"/>
          <w:szCs w:val="22"/>
        </w:rPr>
        <w:t>.</w:t>
      </w:r>
      <w:r w:rsidR="00CB4EEF" w:rsidRPr="000412A1">
        <w:rPr>
          <w:sz w:val="22"/>
          <w:szCs w:val="22"/>
        </w:rPr>
        <w:t xml:space="preserve"> </w:t>
      </w:r>
      <w:r w:rsidR="00FD7C26" w:rsidRPr="000412A1">
        <w:rPr>
          <w:sz w:val="22"/>
          <w:szCs w:val="22"/>
        </w:rPr>
        <w:t xml:space="preserve">VS </w:t>
      </w:r>
      <w:r w:rsidR="00F850B4" w:rsidRPr="000412A1">
        <w:rPr>
          <w:sz w:val="22"/>
          <w:szCs w:val="22"/>
        </w:rPr>
        <w:t xml:space="preserve">removal </w:t>
      </w:r>
      <w:r w:rsidR="005056CA" w:rsidRPr="000412A1">
        <w:rPr>
          <w:sz w:val="22"/>
          <w:szCs w:val="22"/>
        </w:rPr>
        <w:t xml:space="preserve">was </w:t>
      </w:r>
      <w:r w:rsidR="005412C5" w:rsidRPr="000412A1">
        <w:rPr>
          <w:sz w:val="22"/>
          <w:szCs w:val="22"/>
        </w:rPr>
        <w:t>analogous to</w:t>
      </w:r>
      <w:r w:rsidR="005056CA" w:rsidRPr="000412A1">
        <w:rPr>
          <w:sz w:val="22"/>
          <w:szCs w:val="22"/>
        </w:rPr>
        <w:t xml:space="preserve"> the increase </w:t>
      </w:r>
      <w:r w:rsidR="009621E2" w:rsidRPr="000412A1">
        <w:rPr>
          <w:sz w:val="22"/>
          <w:szCs w:val="22"/>
        </w:rPr>
        <w:t xml:space="preserve">in </w:t>
      </w:r>
      <w:r w:rsidR="00DA6FFB" w:rsidRPr="000412A1">
        <w:rPr>
          <w:sz w:val="22"/>
          <w:szCs w:val="22"/>
        </w:rPr>
        <w:t>electr</w:t>
      </w:r>
      <w:r w:rsidR="001E7DCA" w:rsidRPr="000412A1">
        <w:rPr>
          <w:sz w:val="22"/>
          <w:szCs w:val="22"/>
        </w:rPr>
        <w:t>o-o</w:t>
      </w:r>
      <w:r w:rsidR="00DA6FFB" w:rsidRPr="000412A1">
        <w:rPr>
          <w:sz w:val="22"/>
          <w:szCs w:val="22"/>
        </w:rPr>
        <w:t xml:space="preserve">xidation </w:t>
      </w:r>
      <w:r w:rsidR="005056CA" w:rsidRPr="000412A1">
        <w:rPr>
          <w:sz w:val="22"/>
          <w:szCs w:val="22"/>
        </w:rPr>
        <w:t>time</w:t>
      </w:r>
      <w:r w:rsidR="0017135A" w:rsidRPr="000412A1">
        <w:rPr>
          <w:sz w:val="22"/>
          <w:szCs w:val="22"/>
        </w:rPr>
        <w:t xml:space="preserve"> from 5 to 60 min</w:t>
      </w:r>
      <w:r w:rsidR="009968AA" w:rsidRPr="000412A1">
        <w:rPr>
          <w:sz w:val="22"/>
          <w:szCs w:val="22"/>
        </w:rPr>
        <w:t>utes</w:t>
      </w:r>
      <w:r w:rsidR="00F948BC" w:rsidRPr="000412A1">
        <w:rPr>
          <w:sz w:val="22"/>
          <w:szCs w:val="22"/>
        </w:rPr>
        <w:t xml:space="preserve"> </w:t>
      </w:r>
      <w:r w:rsidR="00AE1E7E" w:rsidRPr="000412A1">
        <w:rPr>
          <w:sz w:val="22"/>
          <w:szCs w:val="22"/>
        </w:rPr>
        <w:t>(</w:t>
      </w:r>
      <w:r w:rsidR="00F948BC" w:rsidRPr="000412A1">
        <w:rPr>
          <w:sz w:val="22"/>
          <w:szCs w:val="22"/>
        </w:rPr>
        <w:t>P</w:t>
      </w:r>
      <w:r w:rsidR="009F1630" w:rsidRPr="000412A1">
        <w:rPr>
          <w:sz w:val="22"/>
          <w:szCs w:val="22"/>
        </w:rPr>
        <w:t>5</w:t>
      </w:r>
      <w:r w:rsidR="00AE1E7E" w:rsidRPr="000412A1">
        <w:rPr>
          <w:sz w:val="22"/>
          <w:szCs w:val="22"/>
        </w:rPr>
        <w:t>)</w:t>
      </w:r>
      <w:r w:rsidR="00DA6FFB" w:rsidRPr="000412A1">
        <w:rPr>
          <w:sz w:val="22"/>
          <w:szCs w:val="22"/>
        </w:rPr>
        <w:t>.</w:t>
      </w:r>
      <w:r w:rsidR="00AE1E7E" w:rsidRPr="000412A1">
        <w:rPr>
          <w:sz w:val="22"/>
          <w:szCs w:val="22"/>
        </w:rPr>
        <w:t xml:space="preserve"> </w:t>
      </w:r>
      <w:r w:rsidR="005412C5" w:rsidRPr="000412A1">
        <w:rPr>
          <w:sz w:val="22"/>
          <w:szCs w:val="22"/>
        </w:rPr>
        <w:t xml:space="preserve">VS removal among the post-treated samples ranged </w:t>
      </w:r>
      <w:r w:rsidR="00FD7C26">
        <w:rPr>
          <w:sz w:val="22"/>
          <w:szCs w:val="22"/>
        </w:rPr>
        <w:t>from</w:t>
      </w:r>
      <w:r w:rsidR="00FD7C26" w:rsidRPr="000412A1">
        <w:rPr>
          <w:sz w:val="22"/>
          <w:szCs w:val="22"/>
        </w:rPr>
        <w:t xml:space="preserve"> </w:t>
      </w:r>
      <w:r w:rsidR="005412C5" w:rsidRPr="000412A1">
        <w:rPr>
          <w:sz w:val="22"/>
          <w:szCs w:val="22"/>
        </w:rPr>
        <w:t>8.8</w:t>
      </w:r>
      <w:r w:rsidR="00FD7C26">
        <w:rPr>
          <w:sz w:val="22"/>
          <w:szCs w:val="22"/>
        </w:rPr>
        <w:t>%</w:t>
      </w:r>
      <w:r w:rsidR="005412C5" w:rsidRPr="000412A1">
        <w:rPr>
          <w:sz w:val="22"/>
          <w:szCs w:val="22"/>
        </w:rPr>
        <w:t xml:space="preserve"> to </w:t>
      </w:r>
      <w:r w:rsidR="005412C5" w:rsidRPr="000412A1">
        <w:rPr>
          <w:sz w:val="22"/>
          <w:szCs w:val="22"/>
        </w:rPr>
        <w:lastRenderedPageBreak/>
        <w:t xml:space="preserve">22.2% </w:t>
      </w:r>
      <w:r w:rsidR="00EE5140" w:rsidRPr="000412A1">
        <w:rPr>
          <w:sz w:val="22"/>
          <w:szCs w:val="22"/>
        </w:rPr>
        <w:t>(calculated according</w:t>
      </w:r>
      <w:r w:rsidR="002F1467" w:rsidRPr="000412A1">
        <w:rPr>
          <w:sz w:val="22"/>
          <w:szCs w:val="22"/>
        </w:rPr>
        <w:t xml:space="preserve"> to</w:t>
      </w:r>
      <w:r w:rsidR="00EE5140" w:rsidRPr="000412A1">
        <w:rPr>
          <w:sz w:val="22"/>
          <w:szCs w:val="22"/>
        </w:rPr>
        <w:t xml:space="preserve"> </w:t>
      </w:r>
      <w:r w:rsidR="005412C5" w:rsidRPr="000412A1">
        <w:rPr>
          <w:sz w:val="22"/>
          <w:szCs w:val="22"/>
        </w:rPr>
        <w:t>E</w:t>
      </w:r>
      <w:r w:rsidR="00EE5140" w:rsidRPr="000412A1">
        <w:rPr>
          <w:sz w:val="22"/>
          <w:szCs w:val="22"/>
        </w:rPr>
        <w:t xml:space="preserve">quation </w:t>
      </w:r>
      <w:r w:rsidR="00FD7C26">
        <w:rPr>
          <w:sz w:val="22"/>
          <w:szCs w:val="22"/>
        </w:rPr>
        <w:t>(</w:t>
      </w:r>
      <w:r w:rsidR="00EE5140" w:rsidRPr="000412A1">
        <w:rPr>
          <w:sz w:val="22"/>
          <w:szCs w:val="22"/>
        </w:rPr>
        <w:t>4</w:t>
      </w:r>
      <w:r w:rsidR="00FD7C26">
        <w:rPr>
          <w:sz w:val="22"/>
          <w:szCs w:val="22"/>
        </w:rPr>
        <w:t>)</w:t>
      </w:r>
      <w:r w:rsidR="00EE5140" w:rsidRPr="000412A1">
        <w:rPr>
          <w:sz w:val="22"/>
          <w:szCs w:val="22"/>
        </w:rPr>
        <w:t>)</w:t>
      </w:r>
      <w:r w:rsidR="00DA6FFB" w:rsidRPr="000412A1">
        <w:rPr>
          <w:sz w:val="22"/>
          <w:szCs w:val="22"/>
        </w:rPr>
        <w:t xml:space="preserve">, </w:t>
      </w:r>
      <w:r w:rsidR="00EE5140" w:rsidRPr="000412A1">
        <w:rPr>
          <w:sz w:val="22"/>
          <w:szCs w:val="22"/>
        </w:rPr>
        <w:t xml:space="preserve">with the </w:t>
      </w:r>
      <w:r w:rsidR="00BC2F12" w:rsidRPr="000412A1">
        <w:rPr>
          <w:sz w:val="22"/>
          <w:szCs w:val="22"/>
        </w:rPr>
        <w:t xml:space="preserve">P5 post-treatment reaching the </w:t>
      </w:r>
      <w:r w:rsidR="00EE5140" w:rsidRPr="000412A1">
        <w:rPr>
          <w:sz w:val="22"/>
          <w:szCs w:val="22"/>
        </w:rPr>
        <w:t>highest value</w:t>
      </w:r>
      <w:r w:rsidR="007D2DA4" w:rsidRPr="000412A1">
        <w:rPr>
          <w:sz w:val="22"/>
          <w:szCs w:val="22"/>
        </w:rPr>
        <w:t>.</w:t>
      </w:r>
      <w:r w:rsidR="00875BB9" w:rsidRPr="000412A1">
        <w:rPr>
          <w:sz w:val="22"/>
          <w:szCs w:val="22"/>
        </w:rPr>
        <w:t xml:space="preserve"> </w:t>
      </w:r>
      <w:r w:rsidR="009C3954" w:rsidRPr="000412A1">
        <w:rPr>
          <w:sz w:val="22"/>
          <w:szCs w:val="22"/>
        </w:rPr>
        <w:t>The electr</w:t>
      </w:r>
      <w:r w:rsidR="001E7DCA" w:rsidRPr="000412A1">
        <w:rPr>
          <w:sz w:val="22"/>
          <w:szCs w:val="22"/>
        </w:rPr>
        <w:t>o-o</w:t>
      </w:r>
      <w:r w:rsidR="009C3954" w:rsidRPr="000412A1">
        <w:rPr>
          <w:sz w:val="22"/>
          <w:szCs w:val="22"/>
        </w:rPr>
        <w:t>xidation treatment of the digestate</w:t>
      </w:r>
      <w:r w:rsidR="00723136" w:rsidRPr="000412A1">
        <w:rPr>
          <w:sz w:val="22"/>
          <w:szCs w:val="22"/>
        </w:rPr>
        <w:t xml:space="preserve"> </w:t>
      </w:r>
      <w:r w:rsidR="00532946" w:rsidRPr="000412A1">
        <w:rPr>
          <w:sz w:val="22"/>
          <w:szCs w:val="22"/>
        </w:rPr>
        <w:t>decreased</w:t>
      </w:r>
      <w:r w:rsidR="00660215" w:rsidRPr="000412A1">
        <w:rPr>
          <w:sz w:val="22"/>
          <w:szCs w:val="22"/>
        </w:rPr>
        <w:t xml:space="preserve"> </w:t>
      </w:r>
      <w:r w:rsidR="00532946" w:rsidRPr="000412A1">
        <w:rPr>
          <w:sz w:val="22"/>
          <w:szCs w:val="22"/>
        </w:rPr>
        <w:t xml:space="preserve">all </w:t>
      </w:r>
      <w:r w:rsidR="00723136" w:rsidRPr="000412A1">
        <w:rPr>
          <w:sz w:val="22"/>
          <w:szCs w:val="22"/>
        </w:rPr>
        <w:t>CST</w:t>
      </w:r>
      <w:r w:rsidR="00532946" w:rsidRPr="000412A1">
        <w:rPr>
          <w:sz w:val="22"/>
          <w:szCs w:val="22"/>
        </w:rPr>
        <w:t xml:space="preserve"> (up to 70%)</w:t>
      </w:r>
      <w:r w:rsidR="00723136" w:rsidRPr="000412A1">
        <w:rPr>
          <w:sz w:val="22"/>
          <w:szCs w:val="22"/>
        </w:rPr>
        <w:t xml:space="preserve"> and</w:t>
      </w:r>
      <w:r w:rsidR="00660215" w:rsidRPr="000412A1">
        <w:rPr>
          <w:sz w:val="22"/>
          <w:szCs w:val="22"/>
        </w:rPr>
        <w:t xml:space="preserve"> </w:t>
      </w:r>
      <w:r w:rsidR="00723136" w:rsidRPr="000412A1">
        <w:rPr>
          <w:sz w:val="22"/>
          <w:szCs w:val="22"/>
        </w:rPr>
        <w:t>SRF</w:t>
      </w:r>
      <w:r w:rsidR="00BC2F12" w:rsidRPr="000412A1">
        <w:rPr>
          <w:sz w:val="22"/>
          <w:szCs w:val="22"/>
        </w:rPr>
        <w:t xml:space="preserve"> values</w:t>
      </w:r>
      <w:r w:rsidR="00532946" w:rsidRPr="000412A1">
        <w:rPr>
          <w:sz w:val="22"/>
          <w:szCs w:val="22"/>
        </w:rPr>
        <w:t xml:space="preserve"> (up to 50%)</w:t>
      </w:r>
      <w:r w:rsidR="008B7C44" w:rsidRPr="000412A1">
        <w:rPr>
          <w:sz w:val="22"/>
          <w:szCs w:val="22"/>
        </w:rPr>
        <w:t xml:space="preserve"> </w:t>
      </w:r>
      <w:r w:rsidR="005412C5" w:rsidRPr="000412A1">
        <w:rPr>
          <w:sz w:val="22"/>
          <w:szCs w:val="22"/>
        </w:rPr>
        <w:t xml:space="preserve">compared </w:t>
      </w:r>
      <w:r w:rsidR="00BC2F12" w:rsidRPr="000412A1">
        <w:rPr>
          <w:sz w:val="22"/>
          <w:szCs w:val="22"/>
        </w:rPr>
        <w:t xml:space="preserve">to </w:t>
      </w:r>
      <w:r w:rsidR="00676C11" w:rsidRPr="000412A1">
        <w:rPr>
          <w:sz w:val="22"/>
          <w:szCs w:val="22"/>
        </w:rPr>
        <w:t xml:space="preserve">those obtained </w:t>
      </w:r>
      <w:r w:rsidR="00BC2F12" w:rsidRPr="000412A1">
        <w:rPr>
          <w:sz w:val="22"/>
          <w:szCs w:val="22"/>
        </w:rPr>
        <w:t>from</w:t>
      </w:r>
      <w:r w:rsidR="00FD7C26">
        <w:rPr>
          <w:sz w:val="22"/>
          <w:szCs w:val="22"/>
        </w:rPr>
        <w:t xml:space="preserve"> the</w:t>
      </w:r>
      <w:r w:rsidR="00BC2F12" w:rsidRPr="000412A1">
        <w:rPr>
          <w:sz w:val="22"/>
          <w:szCs w:val="22"/>
        </w:rPr>
        <w:t xml:space="preserve"> </w:t>
      </w:r>
      <w:r w:rsidR="00723136" w:rsidRPr="000412A1">
        <w:rPr>
          <w:sz w:val="22"/>
          <w:szCs w:val="22"/>
        </w:rPr>
        <w:t xml:space="preserve">raw digestate. </w:t>
      </w:r>
      <w:r w:rsidR="005C6A4A" w:rsidRPr="000412A1">
        <w:rPr>
          <w:sz w:val="22"/>
          <w:szCs w:val="22"/>
        </w:rPr>
        <w:t xml:space="preserve">The highest values </w:t>
      </w:r>
      <w:r w:rsidR="009621E2" w:rsidRPr="000412A1">
        <w:rPr>
          <w:sz w:val="22"/>
          <w:szCs w:val="22"/>
        </w:rPr>
        <w:t xml:space="preserve">were </w:t>
      </w:r>
      <w:r w:rsidR="008039D2" w:rsidRPr="000412A1">
        <w:rPr>
          <w:sz w:val="22"/>
          <w:szCs w:val="22"/>
        </w:rPr>
        <w:t>derived</w:t>
      </w:r>
      <w:r w:rsidR="00676C11" w:rsidRPr="000412A1">
        <w:rPr>
          <w:sz w:val="22"/>
          <w:szCs w:val="22"/>
        </w:rPr>
        <w:t xml:space="preserve"> from </w:t>
      </w:r>
      <w:r w:rsidR="005412C5" w:rsidRPr="000412A1">
        <w:rPr>
          <w:sz w:val="22"/>
          <w:szCs w:val="22"/>
        </w:rPr>
        <w:t xml:space="preserve">the </w:t>
      </w:r>
      <w:r w:rsidR="005C6A4A" w:rsidRPr="000412A1">
        <w:rPr>
          <w:sz w:val="22"/>
          <w:szCs w:val="22"/>
        </w:rPr>
        <w:t xml:space="preserve">digestate </w:t>
      </w:r>
      <w:r w:rsidR="00676C11" w:rsidRPr="000412A1">
        <w:rPr>
          <w:sz w:val="22"/>
          <w:szCs w:val="22"/>
        </w:rPr>
        <w:t>sample</w:t>
      </w:r>
      <w:r w:rsidR="00532946" w:rsidRPr="000412A1">
        <w:rPr>
          <w:sz w:val="22"/>
          <w:szCs w:val="22"/>
        </w:rPr>
        <w:t xml:space="preserve"> (control)</w:t>
      </w:r>
      <w:r w:rsidR="00FD7C26">
        <w:rPr>
          <w:sz w:val="22"/>
          <w:szCs w:val="22"/>
        </w:rPr>
        <w:t>,</w:t>
      </w:r>
      <w:r w:rsidR="00676C11" w:rsidRPr="000412A1">
        <w:rPr>
          <w:sz w:val="22"/>
          <w:szCs w:val="22"/>
        </w:rPr>
        <w:t xml:space="preserve"> </w:t>
      </w:r>
      <w:r w:rsidR="00532946" w:rsidRPr="000412A1">
        <w:rPr>
          <w:sz w:val="22"/>
          <w:szCs w:val="22"/>
        </w:rPr>
        <w:t>suggesting</w:t>
      </w:r>
      <w:r w:rsidR="005056CA" w:rsidRPr="000412A1">
        <w:rPr>
          <w:sz w:val="22"/>
          <w:szCs w:val="22"/>
        </w:rPr>
        <w:t xml:space="preserve"> </w:t>
      </w:r>
      <w:r w:rsidR="005C6A4A" w:rsidRPr="000412A1">
        <w:rPr>
          <w:sz w:val="22"/>
          <w:szCs w:val="22"/>
        </w:rPr>
        <w:t>low</w:t>
      </w:r>
      <w:r w:rsidR="005056CA" w:rsidRPr="000412A1">
        <w:rPr>
          <w:sz w:val="22"/>
          <w:szCs w:val="22"/>
        </w:rPr>
        <w:t>er</w:t>
      </w:r>
      <w:r w:rsidR="005C6A4A" w:rsidRPr="000412A1">
        <w:rPr>
          <w:sz w:val="22"/>
          <w:szCs w:val="22"/>
        </w:rPr>
        <w:t xml:space="preserve"> dewaterability (or filterability). </w:t>
      </w:r>
      <w:r w:rsidR="004B6B56">
        <w:rPr>
          <w:sz w:val="22"/>
          <w:szCs w:val="22"/>
        </w:rPr>
        <w:t>The r</w:t>
      </w:r>
      <w:r w:rsidR="005C6A4A" w:rsidRPr="000412A1">
        <w:rPr>
          <w:sz w:val="22"/>
          <w:szCs w:val="22"/>
        </w:rPr>
        <w:t xml:space="preserve">esults </w:t>
      </w:r>
      <w:r w:rsidR="00532946" w:rsidRPr="000412A1">
        <w:rPr>
          <w:sz w:val="22"/>
          <w:szCs w:val="22"/>
        </w:rPr>
        <w:t>hint</w:t>
      </w:r>
      <w:r w:rsidR="00FD7C26">
        <w:rPr>
          <w:sz w:val="22"/>
          <w:szCs w:val="22"/>
        </w:rPr>
        <w:t>ed</w:t>
      </w:r>
      <w:r w:rsidR="00532946" w:rsidRPr="000412A1">
        <w:rPr>
          <w:sz w:val="22"/>
          <w:szCs w:val="22"/>
        </w:rPr>
        <w:t xml:space="preserve"> that</w:t>
      </w:r>
      <w:r w:rsidR="005C6A4A" w:rsidRPr="000412A1">
        <w:rPr>
          <w:sz w:val="22"/>
          <w:szCs w:val="22"/>
        </w:rPr>
        <w:t xml:space="preserve"> the higher</w:t>
      </w:r>
      <w:r w:rsidR="003918A8" w:rsidRPr="000412A1">
        <w:rPr>
          <w:sz w:val="22"/>
          <w:szCs w:val="22"/>
        </w:rPr>
        <w:t xml:space="preserve"> </w:t>
      </w:r>
      <w:r w:rsidR="00532946" w:rsidRPr="000412A1">
        <w:rPr>
          <w:sz w:val="22"/>
          <w:szCs w:val="22"/>
        </w:rPr>
        <w:t>the</w:t>
      </w:r>
      <w:r w:rsidR="005C6A4A" w:rsidRPr="000412A1">
        <w:rPr>
          <w:sz w:val="22"/>
          <w:szCs w:val="22"/>
        </w:rPr>
        <w:t xml:space="preserve"> </w:t>
      </w:r>
      <w:r w:rsidR="00532946" w:rsidRPr="000412A1">
        <w:rPr>
          <w:sz w:val="22"/>
          <w:szCs w:val="22"/>
        </w:rPr>
        <w:t>applied current density,</w:t>
      </w:r>
      <w:r w:rsidR="005C6A4A" w:rsidRPr="000412A1">
        <w:rPr>
          <w:sz w:val="22"/>
          <w:szCs w:val="22"/>
        </w:rPr>
        <w:t xml:space="preserve"> the </w:t>
      </w:r>
      <w:r w:rsidR="003918A8" w:rsidRPr="000412A1">
        <w:rPr>
          <w:sz w:val="22"/>
          <w:szCs w:val="22"/>
        </w:rPr>
        <w:t xml:space="preserve">better </w:t>
      </w:r>
      <w:r w:rsidR="005C6A4A" w:rsidRPr="000412A1">
        <w:rPr>
          <w:sz w:val="22"/>
          <w:szCs w:val="22"/>
        </w:rPr>
        <w:t>the dewaterability</w:t>
      </w:r>
      <w:r w:rsidR="008039D2" w:rsidRPr="000412A1">
        <w:rPr>
          <w:sz w:val="22"/>
          <w:szCs w:val="22"/>
        </w:rPr>
        <w:t xml:space="preserve"> </w:t>
      </w:r>
      <w:r w:rsidR="003918A8" w:rsidRPr="000412A1">
        <w:rPr>
          <w:sz w:val="22"/>
          <w:szCs w:val="22"/>
        </w:rPr>
        <w:t xml:space="preserve">outcome </w:t>
      </w:r>
      <w:r w:rsidR="008039D2" w:rsidRPr="000412A1">
        <w:rPr>
          <w:sz w:val="22"/>
          <w:szCs w:val="22"/>
        </w:rPr>
        <w:t xml:space="preserve">of </w:t>
      </w:r>
      <w:r w:rsidR="003918A8" w:rsidRPr="000412A1">
        <w:rPr>
          <w:sz w:val="22"/>
          <w:szCs w:val="22"/>
        </w:rPr>
        <w:t>the post-treatment</w:t>
      </w:r>
      <w:r w:rsidR="00FD7C26">
        <w:rPr>
          <w:sz w:val="22"/>
          <w:szCs w:val="22"/>
        </w:rPr>
        <w:t xml:space="preserve"> would be.</w:t>
      </w:r>
      <w:r w:rsidR="008039D2" w:rsidRPr="000412A1">
        <w:rPr>
          <w:sz w:val="22"/>
          <w:szCs w:val="22"/>
        </w:rPr>
        <w:t xml:space="preserve"> </w:t>
      </w:r>
      <w:r w:rsidR="001E7DCA" w:rsidRPr="000412A1">
        <w:rPr>
          <w:sz w:val="22"/>
          <w:szCs w:val="22"/>
        </w:rPr>
        <w:t>P</w:t>
      </w:r>
      <w:r w:rsidR="008039D2" w:rsidRPr="000412A1">
        <w:rPr>
          <w:sz w:val="22"/>
          <w:szCs w:val="22"/>
        </w:rPr>
        <w:t>os</w:t>
      </w:r>
      <w:r w:rsidR="00BB6887" w:rsidRPr="000412A1">
        <w:rPr>
          <w:sz w:val="22"/>
          <w:szCs w:val="22"/>
        </w:rPr>
        <w:t>t-</w:t>
      </w:r>
      <w:r w:rsidR="001E7DCA" w:rsidRPr="000412A1">
        <w:rPr>
          <w:sz w:val="22"/>
          <w:szCs w:val="22"/>
        </w:rPr>
        <w:t>T</w:t>
      </w:r>
      <w:r w:rsidR="00DB5CE1" w:rsidRPr="000412A1">
        <w:rPr>
          <w:sz w:val="22"/>
          <w:szCs w:val="22"/>
        </w:rPr>
        <w:t>reatment</w:t>
      </w:r>
      <w:r w:rsidR="001E7DCA" w:rsidRPr="000412A1">
        <w:rPr>
          <w:sz w:val="22"/>
          <w:szCs w:val="22"/>
        </w:rPr>
        <w:t xml:space="preserve"> P4</w:t>
      </w:r>
      <w:r w:rsidR="00DB5CE1" w:rsidRPr="000412A1">
        <w:rPr>
          <w:sz w:val="22"/>
          <w:szCs w:val="22"/>
        </w:rPr>
        <w:t xml:space="preserve"> </w:t>
      </w:r>
      <w:r w:rsidR="00532946" w:rsidRPr="000412A1">
        <w:rPr>
          <w:sz w:val="22"/>
          <w:szCs w:val="22"/>
        </w:rPr>
        <w:t>improved its dewaterability performance</w:t>
      </w:r>
      <w:r w:rsidR="00DB5CE1" w:rsidRPr="000412A1">
        <w:rPr>
          <w:sz w:val="22"/>
          <w:szCs w:val="22"/>
        </w:rPr>
        <w:t xml:space="preserve"> with </w:t>
      </w:r>
      <w:r w:rsidR="00532946" w:rsidRPr="000412A1">
        <w:rPr>
          <w:sz w:val="22"/>
          <w:szCs w:val="22"/>
        </w:rPr>
        <w:t>a</w:t>
      </w:r>
      <w:r w:rsidR="00DB5CE1" w:rsidRPr="000412A1">
        <w:rPr>
          <w:sz w:val="22"/>
          <w:szCs w:val="22"/>
        </w:rPr>
        <w:t xml:space="preserve"> 5</w:t>
      </w:r>
      <w:r w:rsidR="00FD7C26">
        <w:rPr>
          <w:sz w:val="22"/>
          <w:szCs w:val="22"/>
        </w:rPr>
        <w:t xml:space="preserve"> </w:t>
      </w:r>
      <w:r w:rsidR="00DB5CE1" w:rsidRPr="000412A1">
        <w:rPr>
          <w:sz w:val="22"/>
          <w:szCs w:val="22"/>
        </w:rPr>
        <w:t>min</w:t>
      </w:r>
      <w:r w:rsidR="009968AA" w:rsidRPr="000412A1">
        <w:rPr>
          <w:sz w:val="22"/>
          <w:szCs w:val="22"/>
        </w:rPr>
        <w:t>ute</w:t>
      </w:r>
      <w:r w:rsidR="00532946" w:rsidRPr="000412A1">
        <w:rPr>
          <w:sz w:val="22"/>
          <w:szCs w:val="22"/>
        </w:rPr>
        <w:t xml:space="preserve"> application</w:t>
      </w:r>
      <w:r w:rsidR="00DB5CE1" w:rsidRPr="000412A1">
        <w:rPr>
          <w:sz w:val="22"/>
          <w:szCs w:val="22"/>
        </w:rPr>
        <w:t xml:space="preserve"> </w:t>
      </w:r>
      <w:r w:rsidR="00FD7C26">
        <w:rPr>
          <w:sz w:val="22"/>
          <w:szCs w:val="22"/>
        </w:rPr>
        <w:t>because of</w:t>
      </w:r>
      <w:r w:rsidR="00DB5CE1" w:rsidRPr="000412A1">
        <w:rPr>
          <w:sz w:val="22"/>
          <w:szCs w:val="22"/>
        </w:rPr>
        <w:t xml:space="preserve"> the combined effect of pH increase </w:t>
      </w:r>
      <w:r w:rsidR="008039D2" w:rsidRPr="000412A1">
        <w:rPr>
          <w:sz w:val="22"/>
          <w:szCs w:val="22"/>
        </w:rPr>
        <w:t>(</w:t>
      </w:r>
      <w:r w:rsidR="00DB5CE1" w:rsidRPr="000412A1">
        <w:rPr>
          <w:sz w:val="22"/>
          <w:szCs w:val="22"/>
        </w:rPr>
        <w:t>to 10 units</w:t>
      </w:r>
      <w:r w:rsidR="008039D2" w:rsidRPr="000412A1">
        <w:rPr>
          <w:sz w:val="22"/>
          <w:szCs w:val="22"/>
        </w:rPr>
        <w:t>)</w:t>
      </w:r>
      <w:r w:rsidR="00DB5CE1" w:rsidRPr="000412A1">
        <w:rPr>
          <w:sz w:val="22"/>
          <w:szCs w:val="22"/>
        </w:rPr>
        <w:t xml:space="preserve"> and higher current density.</w:t>
      </w:r>
      <w:r w:rsidR="00676C11" w:rsidRPr="000412A1">
        <w:rPr>
          <w:sz w:val="22"/>
          <w:szCs w:val="22"/>
        </w:rPr>
        <w:t xml:space="preserve"> </w:t>
      </w:r>
      <w:r w:rsidR="001E7DCA" w:rsidRPr="000412A1">
        <w:rPr>
          <w:sz w:val="22"/>
          <w:szCs w:val="22"/>
        </w:rPr>
        <w:t>P</w:t>
      </w:r>
      <w:r w:rsidR="00DB5CE1" w:rsidRPr="000412A1">
        <w:rPr>
          <w:sz w:val="22"/>
          <w:szCs w:val="22"/>
        </w:rPr>
        <w:t>ost-</w:t>
      </w:r>
      <w:r w:rsidR="001E7DCA" w:rsidRPr="000412A1">
        <w:rPr>
          <w:sz w:val="22"/>
          <w:szCs w:val="22"/>
        </w:rPr>
        <w:t>Tr</w:t>
      </w:r>
      <w:r w:rsidR="00DB5CE1" w:rsidRPr="000412A1">
        <w:rPr>
          <w:sz w:val="22"/>
          <w:szCs w:val="22"/>
        </w:rPr>
        <w:t>eatment</w:t>
      </w:r>
      <w:r w:rsidR="001E7DCA" w:rsidRPr="000412A1">
        <w:rPr>
          <w:sz w:val="22"/>
          <w:szCs w:val="22"/>
        </w:rPr>
        <w:t xml:space="preserve"> P5</w:t>
      </w:r>
      <w:r w:rsidR="00DB5CE1" w:rsidRPr="000412A1">
        <w:rPr>
          <w:sz w:val="22"/>
          <w:szCs w:val="22"/>
        </w:rPr>
        <w:t xml:space="preserve"> show</w:t>
      </w:r>
      <w:r w:rsidR="002F1467" w:rsidRPr="000412A1">
        <w:rPr>
          <w:sz w:val="22"/>
          <w:szCs w:val="22"/>
        </w:rPr>
        <w:t>ed</w:t>
      </w:r>
      <w:r w:rsidR="00DB5CE1" w:rsidRPr="000412A1">
        <w:rPr>
          <w:sz w:val="22"/>
          <w:szCs w:val="22"/>
        </w:rPr>
        <w:t xml:space="preserve"> the highest dewatering</w:t>
      </w:r>
      <w:r w:rsidR="002F1467" w:rsidRPr="000412A1">
        <w:rPr>
          <w:sz w:val="22"/>
          <w:szCs w:val="22"/>
        </w:rPr>
        <w:t xml:space="preserve"> ability</w:t>
      </w:r>
      <w:r w:rsidR="00E957A5" w:rsidRPr="000412A1">
        <w:rPr>
          <w:sz w:val="22"/>
          <w:szCs w:val="22"/>
        </w:rPr>
        <w:t xml:space="preserve"> since the duration of the treatment</w:t>
      </w:r>
      <w:r w:rsidR="00DB5CE1" w:rsidRPr="000412A1" w:rsidDel="00DB5CE1">
        <w:rPr>
          <w:sz w:val="22"/>
          <w:szCs w:val="22"/>
        </w:rPr>
        <w:t xml:space="preserve"> </w:t>
      </w:r>
      <w:r w:rsidR="0018047C" w:rsidRPr="000412A1">
        <w:rPr>
          <w:sz w:val="22"/>
          <w:szCs w:val="22"/>
        </w:rPr>
        <w:t xml:space="preserve">had </w:t>
      </w:r>
      <w:r w:rsidR="00676C11" w:rsidRPr="000412A1">
        <w:rPr>
          <w:sz w:val="22"/>
          <w:szCs w:val="22"/>
        </w:rPr>
        <w:t xml:space="preserve">a </w:t>
      </w:r>
      <w:r w:rsidR="003918D0" w:rsidRPr="000412A1">
        <w:rPr>
          <w:sz w:val="22"/>
          <w:szCs w:val="22"/>
        </w:rPr>
        <w:t xml:space="preserve">positive </w:t>
      </w:r>
      <w:r w:rsidR="00676C11" w:rsidRPr="000412A1">
        <w:rPr>
          <w:sz w:val="22"/>
          <w:szCs w:val="22"/>
        </w:rPr>
        <w:t>impact on dewaterability</w:t>
      </w:r>
      <w:r w:rsidR="0018047C" w:rsidRPr="000412A1">
        <w:rPr>
          <w:sz w:val="22"/>
          <w:szCs w:val="22"/>
        </w:rPr>
        <w:t xml:space="preserve"> parameters</w:t>
      </w:r>
      <w:r w:rsidR="00676C11" w:rsidRPr="000412A1">
        <w:rPr>
          <w:sz w:val="22"/>
          <w:szCs w:val="22"/>
        </w:rPr>
        <w:t xml:space="preserve">. However, </w:t>
      </w:r>
      <w:r w:rsidR="003918D0" w:rsidRPr="000412A1">
        <w:rPr>
          <w:sz w:val="22"/>
          <w:szCs w:val="22"/>
        </w:rPr>
        <w:t xml:space="preserve">as previously mentioned, </w:t>
      </w:r>
      <w:r w:rsidR="00676C11" w:rsidRPr="000412A1">
        <w:rPr>
          <w:sz w:val="22"/>
          <w:szCs w:val="22"/>
        </w:rPr>
        <w:t xml:space="preserve">the </w:t>
      </w:r>
      <w:r w:rsidR="003918D0" w:rsidRPr="000412A1">
        <w:rPr>
          <w:sz w:val="22"/>
          <w:szCs w:val="22"/>
        </w:rPr>
        <w:t xml:space="preserve">long </w:t>
      </w:r>
      <w:r w:rsidR="00676C11" w:rsidRPr="000412A1">
        <w:rPr>
          <w:sz w:val="22"/>
          <w:szCs w:val="22"/>
        </w:rPr>
        <w:t>duration of the post-treatment</w:t>
      </w:r>
      <w:r w:rsidR="003918D0" w:rsidRPr="000412A1">
        <w:rPr>
          <w:sz w:val="22"/>
          <w:szCs w:val="22"/>
        </w:rPr>
        <w:t xml:space="preserve"> (60</w:t>
      </w:r>
      <w:r w:rsidR="003178AF" w:rsidRPr="000412A1">
        <w:rPr>
          <w:sz w:val="22"/>
          <w:szCs w:val="22"/>
        </w:rPr>
        <w:t xml:space="preserve"> </w:t>
      </w:r>
      <w:r w:rsidR="003918D0" w:rsidRPr="000412A1">
        <w:rPr>
          <w:sz w:val="22"/>
          <w:szCs w:val="22"/>
        </w:rPr>
        <w:t>min)</w:t>
      </w:r>
      <w:r w:rsidR="00676C11" w:rsidRPr="000412A1">
        <w:rPr>
          <w:sz w:val="22"/>
          <w:szCs w:val="22"/>
        </w:rPr>
        <w:t xml:space="preserve"> </w:t>
      </w:r>
      <w:r w:rsidR="003918D0" w:rsidRPr="000412A1">
        <w:rPr>
          <w:sz w:val="22"/>
          <w:szCs w:val="22"/>
        </w:rPr>
        <w:t>renders</w:t>
      </w:r>
      <w:r w:rsidR="008039D2" w:rsidRPr="000412A1">
        <w:rPr>
          <w:sz w:val="22"/>
          <w:szCs w:val="22"/>
        </w:rPr>
        <w:t xml:space="preserve"> </w:t>
      </w:r>
      <w:r w:rsidR="00676C11" w:rsidRPr="000412A1">
        <w:rPr>
          <w:sz w:val="22"/>
          <w:szCs w:val="22"/>
        </w:rPr>
        <w:t xml:space="preserve">this option </w:t>
      </w:r>
      <w:r w:rsidR="008039D2" w:rsidRPr="000412A1">
        <w:rPr>
          <w:sz w:val="22"/>
          <w:szCs w:val="22"/>
        </w:rPr>
        <w:t xml:space="preserve">an </w:t>
      </w:r>
      <w:r w:rsidR="00676C11" w:rsidRPr="000412A1">
        <w:rPr>
          <w:sz w:val="22"/>
          <w:szCs w:val="22"/>
        </w:rPr>
        <w:t>unfeasible</w:t>
      </w:r>
      <w:r w:rsidR="00DB5CE1" w:rsidRPr="000412A1">
        <w:rPr>
          <w:sz w:val="22"/>
          <w:szCs w:val="22"/>
        </w:rPr>
        <w:t xml:space="preserve"> </w:t>
      </w:r>
      <w:r w:rsidR="008039D2" w:rsidRPr="000412A1">
        <w:rPr>
          <w:sz w:val="22"/>
          <w:szCs w:val="22"/>
        </w:rPr>
        <w:t xml:space="preserve">strategy </w:t>
      </w:r>
      <w:r w:rsidR="00DB5CE1" w:rsidRPr="000412A1">
        <w:rPr>
          <w:sz w:val="22"/>
          <w:szCs w:val="22"/>
        </w:rPr>
        <w:t xml:space="preserve">due </w:t>
      </w:r>
      <w:r w:rsidR="003918D0" w:rsidRPr="000412A1">
        <w:rPr>
          <w:sz w:val="22"/>
          <w:szCs w:val="22"/>
        </w:rPr>
        <w:t xml:space="preserve">to </w:t>
      </w:r>
      <w:r w:rsidR="00D80110" w:rsidRPr="000412A1">
        <w:rPr>
          <w:sz w:val="22"/>
          <w:szCs w:val="22"/>
        </w:rPr>
        <w:t>unprofitable</w:t>
      </w:r>
      <w:r w:rsidR="008039D2" w:rsidRPr="000412A1">
        <w:rPr>
          <w:sz w:val="22"/>
          <w:szCs w:val="22"/>
        </w:rPr>
        <w:t xml:space="preserve"> </w:t>
      </w:r>
      <w:r w:rsidR="003918D0" w:rsidRPr="000412A1">
        <w:rPr>
          <w:sz w:val="22"/>
          <w:szCs w:val="22"/>
        </w:rPr>
        <w:t xml:space="preserve">energy </w:t>
      </w:r>
      <w:r w:rsidR="008039D2" w:rsidRPr="000412A1">
        <w:rPr>
          <w:sz w:val="22"/>
          <w:szCs w:val="22"/>
        </w:rPr>
        <w:t>demand</w:t>
      </w:r>
      <w:r w:rsidR="003918D0" w:rsidRPr="000412A1">
        <w:rPr>
          <w:sz w:val="22"/>
          <w:szCs w:val="22"/>
        </w:rPr>
        <w:t>s</w:t>
      </w:r>
      <w:r w:rsidR="0018047C" w:rsidRPr="000412A1">
        <w:rPr>
          <w:sz w:val="22"/>
          <w:szCs w:val="22"/>
        </w:rPr>
        <w:t xml:space="preserve">. </w:t>
      </w:r>
    </w:p>
    <w:p w14:paraId="765D0913" w14:textId="4858FBDE" w:rsidR="00F5112C" w:rsidRPr="000412A1" w:rsidRDefault="005056CA">
      <w:pPr>
        <w:spacing w:after="160" w:line="480" w:lineRule="auto"/>
        <w:rPr>
          <w:sz w:val="22"/>
          <w:szCs w:val="22"/>
        </w:rPr>
      </w:pPr>
      <w:r w:rsidRPr="000412A1">
        <w:rPr>
          <w:sz w:val="22"/>
          <w:szCs w:val="22"/>
        </w:rPr>
        <w:t xml:space="preserve">Different authors studied </w:t>
      </w:r>
      <w:r w:rsidR="00D14EEA" w:rsidRPr="000412A1">
        <w:rPr>
          <w:sz w:val="22"/>
          <w:szCs w:val="22"/>
        </w:rPr>
        <w:t xml:space="preserve">dewaterability </w:t>
      </w:r>
      <w:r w:rsidR="008039D2" w:rsidRPr="000412A1">
        <w:rPr>
          <w:sz w:val="22"/>
          <w:szCs w:val="22"/>
        </w:rPr>
        <w:t xml:space="preserve">enhancement </w:t>
      </w:r>
      <w:r w:rsidR="006B69D9" w:rsidRPr="000412A1">
        <w:rPr>
          <w:sz w:val="22"/>
          <w:szCs w:val="22"/>
        </w:rPr>
        <w:t xml:space="preserve">after </w:t>
      </w:r>
      <w:r w:rsidR="00796715" w:rsidRPr="000412A1">
        <w:rPr>
          <w:sz w:val="22"/>
          <w:szCs w:val="22"/>
        </w:rPr>
        <w:t>testing</w:t>
      </w:r>
      <w:r w:rsidR="005657C3" w:rsidRPr="000412A1">
        <w:rPr>
          <w:sz w:val="22"/>
          <w:szCs w:val="22"/>
        </w:rPr>
        <w:t xml:space="preserve"> </w:t>
      </w:r>
      <w:r w:rsidR="008039D2" w:rsidRPr="000412A1">
        <w:rPr>
          <w:sz w:val="22"/>
          <w:szCs w:val="22"/>
        </w:rPr>
        <w:t xml:space="preserve">several types of </w:t>
      </w:r>
      <w:r w:rsidR="006B69D9" w:rsidRPr="000412A1">
        <w:rPr>
          <w:sz w:val="22"/>
          <w:szCs w:val="22"/>
        </w:rPr>
        <w:t>treatments</w:t>
      </w:r>
      <w:r w:rsidR="008039D2" w:rsidRPr="000412A1">
        <w:rPr>
          <w:sz w:val="22"/>
          <w:szCs w:val="22"/>
        </w:rPr>
        <w:t>.</w:t>
      </w:r>
      <w:r w:rsidR="005C6A4A" w:rsidRPr="000412A1">
        <w:rPr>
          <w:sz w:val="22"/>
          <w:szCs w:val="22"/>
        </w:rPr>
        <w:t xml:space="preserve"> </w:t>
      </w:r>
      <w:r w:rsidR="003C318E" w:rsidRPr="000412A1">
        <w:rPr>
          <w:sz w:val="22"/>
          <w:szCs w:val="22"/>
        </w:rPr>
        <w:fldChar w:fldCharType="begin" w:fldLock="1"/>
      </w:r>
      <w:r w:rsidR="00A07857" w:rsidRPr="000412A1">
        <w:rPr>
          <w:sz w:val="22"/>
          <w:szCs w:val="22"/>
        </w:rPr>
        <w:instrText>ADDIN CSL_CITATION { "citationItems" : [ { "id" : "ITEM-1", "itemData" : { "DOI" : "10.1016/j.cej.2009.07.010", "ISSN" : "13858947", "abstract" : "The study focuses on the effect of microwave irradiation on sludge dewaterability. Capillary suction time and specific resistance of filtration were used to evaluate sludge dewaterability. Soluble chemical oxygen demand, extracellular polymeric substance (EPS) content and sludge particle size were determined in an attempt to explain the observed changes in sludge dewaterability. The results indicated that microwave application slightly enhanced sludge dewaterability with short contact time, while it significantly deteriorated sludge dewaterability with long contact time. The results show that 900 W and 60 s is an ideal microwave condition, yielding maximum sludge dewaterability characteristics by generating sludge with optimal disintegration (1.5-2%), EPS concentration (1500-2000 mg/l), and particle size distribution (120-140 \u03bcm). \u00a9 2009 Elsevier B.V. All rights reserved.", "author" : [ { "dropping-particle" : "", "family" : "Yu", "given" : "Qiang", "non-dropping-particle" : "", "parse-names" : false, "suffix" : "" }, { "dropping-particle" : "", "family" : "Lei", "given" : "Hengyi", "non-dropping-particle" : "", "parse-names" : false, "suffix" : "" }, { "dropping-particle" : "", "family" : "Yu", "given" : "Guangwei", "non-dropping-particle" : "", "parse-names" : false, "suffix" : "" }, { "dropping-particle" : "", "family" : "Feng", "given" : "Xin", "non-dropping-particle" : "", "parse-names" : false, "suffix" : "" }, { "dropping-particle" : "", "family" : "Li", "given" : "Zhaoxu", "non-dropping-particle" : "", "parse-names" : false, "suffix" : "" }, { "dropping-particle" : "", "family" : "Wu", "given" : "Zhicheng", "non-dropping-particle" : "", "parse-names" : false, "suffix" : "" } ], "container-title" : "Chemical Engineering Journal", "id" : "ITEM-1", "issue" : "1-2", "issued" : { "date-parts" : [ [ "2009" ] ] }, "page" : "88-93", "title" : "Influence of microwave irradiation on sludge dewaterability", "type" : "article-journal", "volume" : "155" }, "uris" : [ "http://www.mendeley.com/documents/?uuid=3a018174-2861-42c7-9129-e1d27645ff17", "http://www.mendeley.com/documents/?uuid=e11e065c-f0db-4507-8acb-9ada3e49a3cd", "http://www.mendeley.com/documents/?uuid=4df7754c-49e2-45b1-ba46-5259d560db94" ] } ], "mendeley" : { "formattedCitation" : "(Yu et al., 2009)", "manualFormatting" : "Yu et al. (2009)", "plainTextFormattedCitation" : "(Yu et al., 2009)", "previouslyFormattedCitation" : "(Yu et al., 2009)" }, "properties" : {  }, "schema" : "https://github.com/citation-style-language/schema/raw/master/csl-citation.json" }</w:instrText>
      </w:r>
      <w:r w:rsidR="003C318E" w:rsidRPr="000412A1">
        <w:rPr>
          <w:sz w:val="22"/>
          <w:szCs w:val="22"/>
        </w:rPr>
        <w:fldChar w:fldCharType="separate"/>
      </w:r>
      <w:r w:rsidR="003C318E" w:rsidRPr="000412A1">
        <w:rPr>
          <w:noProof/>
          <w:sz w:val="22"/>
          <w:szCs w:val="22"/>
        </w:rPr>
        <w:t>Yu et al. (2009)</w:t>
      </w:r>
      <w:r w:rsidR="003C318E" w:rsidRPr="000412A1">
        <w:rPr>
          <w:sz w:val="22"/>
          <w:szCs w:val="22"/>
        </w:rPr>
        <w:fldChar w:fldCharType="end"/>
      </w:r>
      <w:r w:rsidR="00324134" w:rsidRPr="000412A1">
        <w:rPr>
          <w:sz w:val="22"/>
          <w:szCs w:val="22"/>
        </w:rPr>
        <w:t xml:space="preserve"> used microwave irradiation </w:t>
      </w:r>
      <w:r w:rsidR="00D80110" w:rsidRPr="000412A1">
        <w:rPr>
          <w:sz w:val="22"/>
          <w:szCs w:val="22"/>
        </w:rPr>
        <w:t xml:space="preserve">for </w:t>
      </w:r>
      <w:r w:rsidR="004969C7" w:rsidRPr="000412A1">
        <w:rPr>
          <w:sz w:val="22"/>
          <w:szCs w:val="22"/>
        </w:rPr>
        <w:t>improv</w:t>
      </w:r>
      <w:r w:rsidR="00D80110" w:rsidRPr="000412A1">
        <w:rPr>
          <w:sz w:val="22"/>
          <w:szCs w:val="22"/>
        </w:rPr>
        <w:t>ing</w:t>
      </w:r>
      <w:r w:rsidR="004969C7" w:rsidRPr="000412A1">
        <w:rPr>
          <w:sz w:val="22"/>
          <w:szCs w:val="22"/>
        </w:rPr>
        <w:t xml:space="preserve"> </w:t>
      </w:r>
      <w:r w:rsidR="00324134" w:rsidRPr="000412A1">
        <w:rPr>
          <w:sz w:val="22"/>
          <w:szCs w:val="22"/>
        </w:rPr>
        <w:t>dewatering</w:t>
      </w:r>
      <w:r w:rsidR="004969C7" w:rsidRPr="000412A1">
        <w:rPr>
          <w:sz w:val="22"/>
          <w:szCs w:val="22"/>
        </w:rPr>
        <w:t xml:space="preserve"> characteristics</w:t>
      </w:r>
      <w:r w:rsidR="00D80110" w:rsidRPr="000412A1">
        <w:rPr>
          <w:sz w:val="22"/>
          <w:szCs w:val="22"/>
        </w:rPr>
        <w:t xml:space="preserve"> by</w:t>
      </w:r>
      <w:r w:rsidR="00324134" w:rsidRPr="000412A1">
        <w:rPr>
          <w:sz w:val="22"/>
          <w:szCs w:val="22"/>
        </w:rPr>
        <w:t xml:space="preserve"> </w:t>
      </w:r>
      <w:r w:rsidR="008039D2" w:rsidRPr="000412A1">
        <w:rPr>
          <w:sz w:val="22"/>
          <w:szCs w:val="22"/>
        </w:rPr>
        <w:t xml:space="preserve">applying </w:t>
      </w:r>
      <w:r w:rsidR="00324134" w:rsidRPr="000412A1">
        <w:rPr>
          <w:sz w:val="22"/>
          <w:szCs w:val="22"/>
        </w:rPr>
        <w:t xml:space="preserve">different energy </w:t>
      </w:r>
      <w:r w:rsidR="00D80110" w:rsidRPr="000412A1">
        <w:rPr>
          <w:sz w:val="22"/>
          <w:szCs w:val="22"/>
        </w:rPr>
        <w:t xml:space="preserve">loads </w:t>
      </w:r>
      <w:r w:rsidR="008039D2" w:rsidRPr="000412A1">
        <w:rPr>
          <w:sz w:val="22"/>
          <w:szCs w:val="22"/>
        </w:rPr>
        <w:t>(by varying power and time)</w:t>
      </w:r>
      <w:r w:rsidR="00D80110" w:rsidRPr="000412A1">
        <w:rPr>
          <w:sz w:val="22"/>
          <w:szCs w:val="22"/>
        </w:rPr>
        <w:t xml:space="preserve">. </w:t>
      </w:r>
      <w:r w:rsidR="00796715" w:rsidRPr="000412A1">
        <w:rPr>
          <w:sz w:val="22"/>
          <w:szCs w:val="22"/>
        </w:rPr>
        <w:t xml:space="preserve">A </w:t>
      </w:r>
      <w:r w:rsidR="00EE5195" w:rsidRPr="000412A1">
        <w:rPr>
          <w:sz w:val="22"/>
          <w:szCs w:val="22"/>
        </w:rPr>
        <w:t xml:space="preserve">decrease in </w:t>
      </w:r>
      <w:r w:rsidR="00D80110" w:rsidRPr="000412A1">
        <w:rPr>
          <w:sz w:val="22"/>
          <w:szCs w:val="22"/>
        </w:rPr>
        <w:t xml:space="preserve">34% </w:t>
      </w:r>
      <w:r w:rsidR="00796715" w:rsidRPr="000412A1">
        <w:rPr>
          <w:sz w:val="22"/>
          <w:szCs w:val="22"/>
        </w:rPr>
        <w:t>was seen for the</w:t>
      </w:r>
      <w:r w:rsidR="004364F7" w:rsidRPr="000412A1">
        <w:rPr>
          <w:sz w:val="22"/>
          <w:szCs w:val="22"/>
        </w:rPr>
        <w:t xml:space="preserve"> SRF </w:t>
      </w:r>
      <w:r w:rsidR="00796715" w:rsidRPr="000412A1">
        <w:rPr>
          <w:sz w:val="22"/>
          <w:szCs w:val="22"/>
        </w:rPr>
        <w:t>when samples were subjected to 900</w:t>
      </w:r>
      <w:r w:rsidR="00B97611" w:rsidRPr="000412A1">
        <w:rPr>
          <w:sz w:val="22"/>
          <w:szCs w:val="22"/>
        </w:rPr>
        <w:t xml:space="preserve"> </w:t>
      </w:r>
      <w:r w:rsidR="00796715" w:rsidRPr="000412A1">
        <w:rPr>
          <w:sz w:val="22"/>
          <w:szCs w:val="22"/>
        </w:rPr>
        <w:t>W of ioni</w:t>
      </w:r>
      <w:r w:rsidR="00B97611" w:rsidRPr="000412A1">
        <w:rPr>
          <w:sz w:val="22"/>
          <w:szCs w:val="22"/>
        </w:rPr>
        <w:t>s</w:t>
      </w:r>
      <w:r w:rsidR="00796715" w:rsidRPr="000412A1">
        <w:rPr>
          <w:sz w:val="22"/>
          <w:szCs w:val="22"/>
        </w:rPr>
        <w:t xml:space="preserve">ing radiation </w:t>
      </w:r>
      <w:r w:rsidR="00D80110" w:rsidRPr="000412A1">
        <w:rPr>
          <w:sz w:val="22"/>
          <w:szCs w:val="22"/>
        </w:rPr>
        <w:t>(</w:t>
      </w:r>
      <w:r w:rsidR="00324134" w:rsidRPr="000412A1">
        <w:rPr>
          <w:sz w:val="22"/>
          <w:szCs w:val="22"/>
        </w:rPr>
        <w:t xml:space="preserve">5.39 </w:t>
      </w:r>
      <w:r w:rsidR="00C20182" w:rsidRPr="00C20182">
        <w:rPr>
          <w:sz w:val="22"/>
          <w:szCs w:val="22"/>
        </w:rPr>
        <w:t>×</w:t>
      </w:r>
      <w:r w:rsidR="00C20182" w:rsidRPr="00C20182" w:rsidDel="00C20182">
        <w:rPr>
          <w:sz w:val="22"/>
          <w:szCs w:val="22"/>
        </w:rPr>
        <w:t xml:space="preserve"> </w:t>
      </w:r>
      <w:r w:rsidR="00324134" w:rsidRPr="000412A1">
        <w:rPr>
          <w:sz w:val="22"/>
          <w:szCs w:val="22"/>
        </w:rPr>
        <w:t>10</w:t>
      </w:r>
      <w:r w:rsidR="00324134" w:rsidRPr="000412A1">
        <w:rPr>
          <w:sz w:val="22"/>
          <w:szCs w:val="22"/>
          <w:vertAlign w:val="superscript"/>
        </w:rPr>
        <w:t>9</w:t>
      </w:r>
      <w:r w:rsidR="00324134" w:rsidRPr="000412A1">
        <w:rPr>
          <w:sz w:val="22"/>
          <w:szCs w:val="22"/>
        </w:rPr>
        <w:t xml:space="preserve"> m/kg untreated sludge </w:t>
      </w:r>
      <w:r w:rsidR="00796715" w:rsidRPr="000412A1">
        <w:rPr>
          <w:sz w:val="22"/>
          <w:szCs w:val="22"/>
        </w:rPr>
        <w:t xml:space="preserve">down </w:t>
      </w:r>
      <w:r w:rsidR="008039D2" w:rsidRPr="000412A1">
        <w:rPr>
          <w:sz w:val="22"/>
          <w:szCs w:val="22"/>
        </w:rPr>
        <w:t xml:space="preserve">to </w:t>
      </w:r>
      <w:r w:rsidR="00324134" w:rsidRPr="000412A1">
        <w:rPr>
          <w:sz w:val="22"/>
          <w:szCs w:val="22"/>
        </w:rPr>
        <w:t xml:space="preserve">1.84 </w:t>
      </w:r>
      <w:r w:rsidR="00C20182" w:rsidRPr="00C20182">
        <w:rPr>
          <w:sz w:val="22"/>
          <w:szCs w:val="22"/>
        </w:rPr>
        <w:t>×</w:t>
      </w:r>
      <w:r w:rsidR="00C20182" w:rsidRPr="00C20182" w:rsidDel="00C20182">
        <w:rPr>
          <w:sz w:val="22"/>
          <w:szCs w:val="22"/>
        </w:rPr>
        <w:t xml:space="preserve"> </w:t>
      </w:r>
      <w:r w:rsidR="00324134" w:rsidRPr="000412A1">
        <w:rPr>
          <w:sz w:val="22"/>
          <w:szCs w:val="22"/>
        </w:rPr>
        <w:t>10</w:t>
      </w:r>
      <w:r w:rsidR="00324134" w:rsidRPr="000412A1">
        <w:rPr>
          <w:sz w:val="22"/>
          <w:szCs w:val="22"/>
          <w:vertAlign w:val="superscript"/>
        </w:rPr>
        <w:t>9</w:t>
      </w:r>
      <w:r w:rsidR="00324134" w:rsidRPr="000412A1">
        <w:rPr>
          <w:sz w:val="22"/>
          <w:szCs w:val="22"/>
        </w:rPr>
        <w:t xml:space="preserve"> </w:t>
      </w:r>
      <w:r w:rsidR="004969C7" w:rsidRPr="000412A1">
        <w:rPr>
          <w:sz w:val="22"/>
          <w:szCs w:val="22"/>
        </w:rPr>
        <w:t>m/kg</w:t>
      </w:r>
      <w:r w:rsidR="00796715" w:rsidRPr="000412A1">
        <w:rPr>
          <w:sz w:val="22"/>
          <w:szCs w:val="22"/>
        </w:rPr>
        <w:t>)</w:t>
      </w:r>
      <w:r w:rsidR="004969C7" w:rsidRPr="000412A1">
        <w:rPr>
          <w:sz w:val="22"/>
          <w:szCs w:val="22"/>
        </w:rPr>
        <w:t>.</w:t>
      </w:r>
      <w:r w:rsidR="00235AAC" w:rsidRPr="000412A1">
        <w:rPr>
          <w:sz w:val="22"/>
          <w:szCs w:val="22"/>
        </w:rPr>
        <w:t xml:space="preserve"> </w:t>
      </w:r>
      <w:r w:rsidR="008039D2" w:rsidRPr="000412A1">
        <w:rPr>
          <w:sz w:val="22"/>
          <w:szCs w:val="22"/>
        </w:rPr>
        <w:t>In a different study</w:t>
      </w:r>
      <w:r w:rsidR="004969C7" w:rsidRPr="000412A1">
        <w:rPr>
          <w:sz w:val="22"/>
          <w:szCs w:val="22"/>
        </w:rPr>
        <w:t>,</w:t>
      </w:r>
      <w:r w:rsidR="008039D2" w:rsidRPr="000412A1">
        <w:rPr>
          <w:sz w:val="22"/>
          <w:szCs w:val="22"/>
        </w:rPr>
        <w:t xml:space="preserve"> </w:t>
      </w:r>
      <w:r w:rsidR="00235AAC" w:rsidRPr="000412A1">
        <w:rPr>
          <w:sz w:val="22"/>
          <w:szCs w:val="22"/>
        </w:rPr>
        <w:fldChar w:fldCharType="begin" w:fldLock="1"/>
      </w:r>
      <w:r w:rsidR="00A07857" w:rsidRPr="000412A1">
        <w:rPr>
          <w:sz w:val="22"/>
          <w:szCs w:val="22"/>
        </w:rPr>
        <w:instrText>ADDIN CSL_CITATION { "citationItems" : [ { "id" : "ITEM-1", "itemData" : { "ISSN" : "02731223", "abstract" : "Biological sludge contains various fractions of water associated with sludge solids which are mostly microorganisms. These water fractions affect the liquid-solid separation of sludge. A considerable amount of sludge water is trapped either inside the sludge microorganisms or within the floc structure and this is labeled interstitial water. Release of interstitial water held inside the cell structure involves disruption of sludge cells and this does not occur during conventional dewatering. In this study, sludge cell disruption is introduced as a new method to improve the compactibility of sludge. Biological sludge cells are disrupted by different methods including alkali treatment, NaCl treatment, heat treatment, and sonication. The effect of cell disruption on compactibility of biological sludge is investigated. The results of the study indicate that the disruption of the sludge cells changes the water distribution in sludge and improves the compactibility of sludge. Disruption apparently releases from 60% to 80% of interstitial water, depending on the disruption method used. On the other hand, it causes creation of extra surfaces for water binding and leads to an increase in the unfreezable water content (vicinal water, water of hydration and a fraction of interstitial water) of sludge. The cell disruption increases the solid content of compacted sludge up to 87% depending on the cell disruption method used.", "author" : [ { "dropping-particle" : "", "family" : "Erdincler", "given" : "A.", "non-dropping-particle" : "", "parse-names" : false, "suffix" : "" }, { "dropping-particle" : "", "family" : "Vesilind", "given" : "P. A.", "non-dropping-particle" : "", "parse-names" : false, "suffix" : "" } ], "container-title" : "Water Science and Technology", "id" : "ITEM-1", "issue" : "9", "issued" : { "date-parts" : [ [ "2000" ] ] }, "page" : "119-126", "title" : "Effect of sludge cell disruption on compactibility of biological sludges", "type" : "article-journal", "volume" : "42" }, "uris" : [ "http://www.mendeley.com/documents/?uuid=3487a6a2-4cb8-4262-8067-893f2a46b905", "http://www.mendeley.com/documents/?uuid=35cc3616-ea4b-4743-88b4-d765376df1da", "http://www.mendeley.com/documents/?uuid=69c0a1c4-3d18-4a62-88e4-978886c46912" ] } ], "mendeley" : { "formattedCitation" : "(Erdincler and Vesilind, 2000)", "manualFormatting" : "Erdincler and Vesilind, (2000)", "plainTextFormattedCitation" : "(Erdincler and Vesilind, 2000)", "previouslyFormattedCitation" : "(Erdincler and Vesilind, 2000)" }, "properties" : {  }, "schema" : "https://github.com/citation-style-language/schema/raw/master/csl-citation.json" }</w:instrText>
      </w:r>
      <w:r w:rsidR="00235AAC" w:rsidRPr="000412A1">
        <w:rPr>
          <w:sz w:val="22"/>
          <w:szCs w:val="22"/>
        </w:rPr>
        <w:fldChar w:fldCharType="separate"/>
      </w:r>
      <w:r w:rsidR="00FD4989" w:rsidRPr="000412A1">
        <w:rPr>
          <w:noProof/>
          <w:sz w:val="22"/>
          <w:szCs w:val="22"/>
        </w:rPr>
        <w:t xml:space="preserve">Erdincler and Vesilind </w:t>
      </w:r>
      <w:r w:rsidR="003C318E" w:rsidRPr="000412A1">
        <w:rPr>
          <w:noProof/>
          <w:sz w:val="22"/>
          <w:szCs w:val="22"/>
        </w:rPr>
        <w:t>(</w:t>
      </w:r>
      <w:r w:rsidR="00FD4989" w:rsidRPr="000412A1">
        <w:rPr>
          <w:noProof/>
          <w:sz w:val="22"/>
          <w:szCs w:val="22"/>
        </w:rPr>
        <w:t>2000)</w:t>
      </w:r>
      <w:r w:rsidR="00235AAC" w:rsidRPr="000412A1">
        <w:rPr>
          <w:sz w:val="22"/>
          <w:szCs w:val="22"/>
        </w:rPr>
        <w:fldChar w:fldCharType="end"/>
      </w:r>
      <w:r w:rsidR="00235AAC" w:rsidRPr="000412A1">
        <w:rPr>
          <w:sz w:val="22"/>
          <w:szCs w:val="22"/>
        </w:rPr>
        <w:t xml:space="preserve"> carried out </w:t>
      </w:r>
      <w:proofErr w:type="spellStart"/>
      <w:r w:rsidR="008039D2" w:rsidRPr="000412A1">
        <w:rPr>
          <w:sz w:val="22"/>
          <w:szCs w:val="22"/>
        </w:rPr>
        <w:t>pretreatment</w:t>
      </w:r>
      <w:proofErr w:type="spellEnd"/>
      <w:r w:rsidR="008039D2" w:rsidRPr="000412A1">
        <w:rPr>
          <w:sz w:val="22"/>
          <w:szCs w:val="22"/>
        </w:rPr>
        <w:t xml:space="preserve"> </w:t>
      </w:r>
      <w:r w:rsidR="00235AAC" w:rsidRPr="000412A1">
        <w:rPr>
          <w:sz w:val="22"/>
          <w:szCs w:val="22"/>
        </w:rPr>
        <w:t>employing thermal and ultrasound technique</w:t>
      </w:r>
      <w:r w:rsidR="008039D2" w:rsidRPr="000412A1">
        <w:rPr>
          <w:sz w:val="22"/>
          <w:szCs w:val="22"/>
        </w:rPr>
        <w:t>s.</w:t>
      </w:r>
      <w:r w:rsidR="00EE5140" w:rsidRPr="000412A1">
        <w:rPr>
          <w:sz w:val="22"/>
          <w:szCs w:val="22"/>
        </w:rPr>
        <w:t xml:space="preserve"> </w:t>
      </w:r>
      <w:r w:rsidR="002F1467" w:rsidRPr="000412A1">
        <w:rPr>
          <w:sz w:val="22"/>
          <w:szCs w:val="22"/>
        </w:rPr>
        <w:t>T</w:t>
      </w:r>
      <w:r w:rsidR="00EE5140" w:rsidRPr="000412A1">
        <w:rPr>
          <w:sz w:val="22"/>
          <w:szCs w:val="22"/>
        </w:rPr>
        <w:t xml:space="preserve">hese studies </w:t>
      </w:r>
      <w:r w:rsidR="00796715" w:rsidRPr="000412A1">
        <w:rPr>
          <w:sz w:val="22"/>
          <w:szCs w:val="22"/>
        </w:rPr>
        <w:t>managed to</w:t>
      </w:r>
      <w:r w:rsidR="008039D2" w:rsidRPr="000412A1">
        <w:rPr>
          <w:sz w:val="22"/>
          <w:szCs w:val="22"/>
        </w:rPr>
        <w:t xml:space="preserve"> disrupt </w:t>
      </w:r>
      <w:r w:rsidR="00835141" w:rsidRPr="000412A1">
        <w:rPr>
          <w:sz w:val="22"/>
          <w:szCs w:val="22"/>
        </w:rPr>
        <w:t>flocs and disintegrate</w:t>
      </w:r>
      <w:r w:rsidR="000B0085" w:rsidRPr="000412A1">
        <w:rPr>
          <w:sz w:val="22"/>
          <w:szCs w:val="22"/>
        </w:rPr>
        <w:t xml:space="preserve"> aggregates</w:t>
      </w:r>
      <w:r w:rsidR="00D14EEA">
        <w:rPr>
          <w:sz w:val="22"/>
          <w:szCs w:val="22"/>
        </w:rPr>
        <w:t>,</w:t>
      </w:r>
      <w:r w:rsidR="000B0085" w:rsidRPr="000412A1">
        <w:rPr>
          <w:sz w:val="22"/>
          <w:szCs w:val="22"/>
        </w:rPr>
        <w:t xml:space="preserve"> thus</w:t>
      </w:r>
      <w:r w:rsidR="00835141" w:rsidRPr="000412A1">
        <w:rPr>
          <w:sz w:val="22"/>
          <w:szCs w:val="22"/>
        </w:rPr>
        <w:t xml:space="preserve"> reducing the CST from 19.7 to 15.2 and 17.1</w:t>
      </w:r>
      <w:r w:rsidR="00D14EEA">
        <w:rPr>
          <w:sz w:val="22"/>
          <w:szCs w:val="22"/>
        </w:rPr>
        <w:t xml:space="preserve"> </w:t>
      </w:r>
      <w:r w:rsidR="00835141" w:rsidRPr="000412A1">
        <w:rPr>
          <w:sz w:val="22"/>
          <w:szCs w:val="22"/>
        </w:rPr>
        <w:t xml:space="preserve">s </w:t>
      </w:r>
      <w:r w:rsidR="004365E5" w:rsidRPr="000412A1">
        <w:rPr>
          <w:sz w:val="22"/>
          <w:szCs w:val="22"/>
        </w:rPr>
        <w:t xml:space="preserve">when </w:t>
      </w:r>
      <w:r w:rsidR="00835141" w:rsidRPr="000412A1">
        <w:rPr>
          <w:sz w:val="22"/>
          <w:szCs w:val="22"/>
        </w:rPr>
        <w:t>thermal and ultrasound</w:t>
      </w:r>
      <w:r w:rsidR="000B0085" w:rsidRPr="000412A1">
        <w:rPr>
          <w:sz w:val="22"/>
          <w:szCs w:val="22"/>
        </w:rPr>
        <w:t xml:space="preserve"> treatments</w:t>
      </w:r>
      <w:r w:rsidR="004365E5" w:rsidRPr="000412A1">
        <w:rPr>
          <w:sz w:val="22"/>
          <w:szCs w:val="22"/>
        </w:rPr>
        <w:t xml:space="preserve"> were tested</w:t>
      </w:r>
      <w:r w:rsidR="00835141" w:rsidRPr="000412A1">
        <w:rPr>
          <w:sz w:val="22"/>
          <w:szCs w:val="22"/>
        </w:rPr>
        <w:t xml:space="preserve">, respectively. </w:t>
      </w:r>
      <w:r w:rsidR="00796715" w:rsidRPr="000412A1">
        <w:rPr>
          <w:sz w:val="22"/>
          <w:szCs w:val="22"/>
        </w:rPr>
        <w:t>A</w:t>
      </w:r>
      <w:r w:rsidR="003E00E1" w:rsidRPr="000412A1">
        <w:rPr>
          <w:sz w:val="22"/>
          <w:szCs w:val="22"/>
        </w:rPr>
        <w:t>dvanced chemical oxidant reaction</w:t>
      </w:r>
      <w:r w:rsidR="00C02204" w:rsidRPr="000412A1">
        <w:rPr>
          <w:sz w:val="22"/>
          <w:szCs w:val="22"/>
        </w:rPr>
        <w:t>s</w:t>
      </w:r>
      <w:r w:rsidR="003E00E1" w:rsidRPr="000412A1">
        <w:rPr>
          <w:sz w:val="22"/>
          <w:szCs w:val="22"/>
        </w:rPr>
        <w:t xml:space="preserve"> as Fenton </w:t>
      </w:r>
      <w:r w:rsidR="000B0085" w:rsidRPr="000412A1">
        <w:rPr>
          <w:sz w:val="22"/>
          <w:szCs w:val="22"/>
        </w:rPr>
        <w:t xml:space="preserve">treatment </w:t>
      </w:r>
      <w:r w:rsidR="00C02204" w:rsidRPr="000412A1">
        <w:rPr>
          <w:sz w:val="22"/>
          <w:szCs w:val="22"/>
        </w:rPr>
        <w:t xml:space="preserve">were </w:t>
      </w:r>
      <w:r w:rsidR="003E00E1" w:rsidRPr="000412A1">
        <w:rPr>
          <w:sz w:val="22"/>
          <w:szCs w:val="22"/>
        </w:rPr>
        <w:t xml:space="preserve">studied by </w:t>
      </w:r>
      <w:r w:rsidR="006B69D9" w:rsidRPr="000412A1">
        <w:rPr>
          <w:sz w:val="22"/>
          <w:szCs w:val="22"/>
        </w:rPr>
        <w:fldChar w:fldCharType="begin" w:fldLock="1"/>
      </w:r>
      <w:r w:rsidR="00A07857" w:rsidRPr="000412A1">
        <w:rPr>
          <w:sz w:val="22"/>
          <w:szCs w:val="22"/>
        </w:rPr>
        <w:instrText>ADDIN CSL_CITATION { "citationItems" : [ { "id" : "ITEM-1", "itemData" : { "DOI" : "10.1016/S0032-9592(03)00294-2", "ISSN" : "00329592", "abstract" : "Different organic and inorganic chemicals including alum, ferric chloride, ferric sulphate, lime and polymers are used for conditioning. In this study, Fenton's reagent (Fe2+/H2O2), which has not been examined sufficiently so far, was used as a chemical conditioner. The effects of various Fe2+ (1000-6000 mg l-1) and H 2O2 (2000-6000 mg l-1) concentrations on specific resistance to filtration (SRF) and capillary suction time (CST) of biological sludge were investigated. Experimental results indicated that high Fe2+ and H2O2 concentration provides higher dewatering efficiency. Minimum SRF, 6.149\u00d7109 m kg -1, was achieved at 5000 mg l-1 Fe2+ and 6000 mg l-1 H2O2 concentration and minimum CST, 15.7 s, was obtained at dosage of 5000 mg l-1 Fe2+ and 6000 mg l-1 H2O2. \u00a9 2003 Elsevier Ltd. All rights reserved.", "author" : [ { "dropping-particle" : "", "family" : "Buyukkamaci", "given" : "Nurdan", "non-dropping-particle" : "", "parse-names" : false, "suffix" : "" } ], "container-title" : "Process Biochemistry", "id" : "ITEM-1", "issue" : "11", "issued" : { "date-parts" : [ [ "2004" ] ] }, "page" : "1503-1506", "title" : "Biological sludge conditioning by Fenton's reagent", "type" : "article-journal", "volume" : "39" }, "uris" : [ "http://www.mendeley.com/documents/?uuid=8b7446e1-4dc4-47ac-b7b1-d2224b416405", "http://www.mendeley.com/documents/?uuid=99e123fd-9b81-4179-8367-b45e7fff1964", "http://www.mendeley.com/documents/?uuid=dd18ac4f-587b-46ee-bb68-8a1c374f5501" ] } ], "mendeley" : { "formattedCitation" : "(Buyukkamaci, 2004)", "manualFormatting" : "Buyukkamaci (2004)", "plainTextFormattedCitation" : "(Buyukkamaci, 2004)", "previouslyFormattedCitation" : "(Buyukkamaci, 2004)" }, "properties" : {  }, "schema" : "https://github.com/citation-style-language/schema/raw/master/csl-citation.json" }</w:instrText>
      </w:r>
      <w:r w:rsidR="006B69D9" w:rsidRPr="000412A1">
        <w:rPr>
          <w:sz w:val="22"/>
          <w:szCs w:val="22"/>
        </w:rPr>
        <w:fldChar w:fldCharType="separate"/>
      </w:r>
      <w:r w:rsidR="006B69D9" w:rsidRPr="000412A1">
        <w:rPr>
          <w:noProof/>
          <w:sz w:val="22"/>
          <w:szCs w:val="22"/>
        </w:rPr>
        <w:t>Buyukkamaci</w:t>
      </w:r>
      <w:r w:rsidR="000B0085" w:rsidRPr="000412A1">
        <w:rPr>
          <w:noProof/>
          <w:sz w:val="22"/>
          <w:szCs w:val="22"/>
        </w:rPr>
        <w:t xml:space="preserve"> </w:t>
      </w:r>
      <w:r w:rsidR="006B69D9" w:rsidRPr="000412A1">
        <w:rPr>
          <w:noProof/>
          <w:sz w:val="22"/>
          <w:szCs w:val="22"/>
        </w:rPr>
        <w:t>(2004)</w:t>
      </w:r>
      <w:r w:rsidR="006B69D9" w:rsidRPr="000412A1">
        <w:rPr>
          <w:sz w:val="22"/>
          <w:szCs w:val="22"/>
        </w:rPr>
        <w:fldChar w:fldCharType="end"/>
      </w:r>
      <w:r w:rsidR="006B69D9" w:rsidRPr="000412A1">
        <w:rPr>
          <w:sz w:val="22"/>
          <w:szCs w:val="22"/>
        </w:rPr>
        <w:t xml:space="preserve"> </w:t>
      </w:r>
      <w:r w:rsidR="003E00E1" w:rsidRPr="000412A1">
        <w:rPr>
          <w:sz w:val="22"/>
          <w:szCs w:val="22"/>
        </w:rPr>
        <w:t>as a technique for</w:t>
      </w:r>
      <w:r w:rsidR="00B97611" w:rsidRPr="000412A1">
        <w:rPr>
          <w:sz w:val="22"/>
          <w:szCs w:val="22"/>
        </w:rPr>
        <w:t xml:space="preserve"> improving</w:t>
      </w:r>
      <w:r w:rsidR="003E00E1" w:rsidRPr="000412A1">
        <w:rPr>
          <w:sz w:val="22"/>
          <w:szCs w:val="22"/>
        </w:rPr>
        <w:t xml:space="preserve"> dewatering</w:t>
      </w:r>
      <w:r w:rsidR="00796715" w:rsidRPr="000412A1">
        <w:rPr>
          <w:sz w:val="22"/>
          <w:szCs w:val="22"/>
        </w:rPr>
        <w:t>,</w:t>
      </w:r>
      <w:r w:rsidR="004365E5" w:rsidRPr="000412A1">
        <w:rPr>
          <w:sz w:val="22"/>
          <w:szCs w:val="22"/>
        </w:rPr>
        <w:t xml:space="preserve"> reporting</w:t>
      </w:r>
      <w:r w:rsidR="000B0085" w:rsidRPr="000412A1">
        <w:rPr>
          <w:sz w:val="22"/>
          <w:szCs w:val="22"/>
        </w:rPr>
        <w:t xml:space="preserve"> </w:t>
      </w:r>
      <w:r w:rsidR="003E00E1" w:rsidRPr="000412A1">
        <w:rPr>
          <w:sz w:val="22"/>
          <w:szCs w:val="22"/>
        </w:rPr>
        <w:t xml:space="preserve">a </w:t>
      </w:r>
      <w:r w:rsidR="00B97611" w:rsidRPr="000412A1">
        <w:rPr>
          <w:sz w:val="22"/>
          <w:szCs w:val="22"/>
        </w:rPr>
        <w:t xml:space="preserve">decrease </w:t>
      </w:r>
      <w:r w:rsidR="00077C3A" w:rsidRPr="000412A1">
        <w:rPr>
          <w:sz w:val="22"/>
          <w:szCs w:val="22"/>
        </w:rPr>
        <w:t>of</w:t>
      </w:r>
      <w:r w:rsidR="003E00E1" w:rsidRPr="000412A1">
        <w:rPr>
          <w:sz w:val="22"/>
          <w:szCs w:val="22"/>
        </w:rPr>
        <w:t xml:space="preserve"> 44% </w:t>
      </w:r>
      <w:r w:rsidR="000B0085" w:rsidRPr="000412A1">
        <w:rPr>
          <w:sz w:val="22"/>
          <w:szCs w:val="22"/>
        </w:rPr>
        <w:t>in</w:t>
      </w:r>
      <w:r w:rsidR="003E00E1" w:rsidRPr="000412A1">
        <w:rPr>
          <w:sz w:val="22"/>
          <w:szCs w:val="22"/>
        </w:rPr>
        <w:t xml:space="preserve"> CST</w:t>
      </w:r>
      <w:r w:rsidR="00B97611" w:rsidRPr="000412A1">
        <w:rPr>
          <w:sz w:val="22"/>
          <w:szCs w:val="22"/>
        </w:rPr>
        <w:t xml:space="preserve"> values</w:t>
      </w:r>
      <w:r w:rsidR="000B0085" w:rsidRPr="000412A1">
        <w:rPr>
          <w:sz w:val="22"/>
          <w:szCs w:val="22"/>
        </w:rPr>
        <w:t xml:space="preserve">. In the present research, this particular parameter </w:t>
      </w:r>
      <w:r w:rsidR="003E00E1" w:rsidRPr="000412A1">
        <w:rPr>
          <w:sz w:val="22"/>
          <w:szCs w:val="22"/>
        </w:rPr>
        <w:t>was improve</w:t>
      </w:r>
      <w:r w:rsidR="000B0085" w:rsidRPr="000412A1">
        <w:rPr>
          <w:sz w:val="22"/>
          <w:szCs w:val="22"/>
        </w:rPr>
        <w:t>d</w:t>
      </w:r>
      <w:r w:rsidR="003E00E1" w:rsidRPr="000412A1">
        <w:rPr>
          <w:sz w:val="22"/>
          <w:szCs w:val="22"/>
        </w:rPr>
        <w:t xml:space="preserve"> </w:t>
      </w:r>
      <w:r w:rsidR="00471A69" w:rsidRPr="000412A1">
        <w:rPr>
          <w:sz w:val="22"/>
          <w:szCs w:val="22"/>
        </w:rPr>
        <w:t xml:space="preserve">by </w:t>
      </w:r>
      <w:r w:rsidR="00EE5195" w:rsidRPr="000412A1">
        <w:rPr>
          <w:sz w:val="22"/>
          <w:szCs w:val="22"/>
        </w:rPr>
        <w:t xml:space="preserve">decreasing </w:t>
      </w:r>
      <w:r w:rsidR="00A70C41" w:rsidRPr="000412A1">
        <w:rPr>
          <w:sz w:val="22"/>
          <w:szCs w:val="22"/>
        </w:rPr>
        <w:t xml:space="preserve">the CST from &gt;2000 to 625.8 </w:t>
      </w:r>
      <w:r w:rsidR="00D14EEA">
        <w:rPr>
          <w:sz w:val="22"/>
          <w:szCs w:val="22"/>
        </w:rPr>
        <w:t>(</w:t>
      </w:r>
      <w:r w:rsidR="00A70C41" w:rsidRPr="000412A1">
        <w:rPr>
          <w:sz w:val="22"/>
          <w:szCs w:val="22"/>
        </w:rPr>
        <w:t>P4</w:t>
      </w:r>
      <w:r w:rsidR="00D14EEA">
        <w:rPr>
          <w:sz w:val="22"/>
          <w:szCs w:val="22"/>
        </w:rPr>
        <w:t>)</w:t>
      </w:r>
      <w:r w:rsidR="00A70C41" w:rsidRPr="000412A1">
        <w:rPr>
          <w:sz w:val="22"/>
          <w:szCs w:val="22"/>
        </w:rPr>
        <w:t xml:space="preserve"> and 348.9</w:t>
      </w:r>
      <w:r w:rsidR="00B97611" w:rsidRPr="000412A1">
        <w:rPr>
          <w:sz w:val="22"/>
          <w:szCs w:val="22"/>
        </w:rPr>
        <w:t xml:space="preserve"> </w:t>
      </w:r>
      <w:r w:rsidR="00A70C41" w:rsidRPr="000412A1">
        <w:rPr>
          <w:sz w:val="22"/>
          <w:szCs w:val="22"/>
        </w:rPr>
        <w:t xml:space="preserve">s </w:t>
      </w:r>
      <w:r w:rsidR="00D14EEA">
        <w:rPr>
          <w:sz w:val="22"/>
          <w:szCs w:val="22"/>
        </w:rPr>
        <w:t>(</w:t>
      </w:r>
      <w:r w:rsidR="001E7DCA" w:rsidRPr="000412A1">
        <w:rPr>
          <w:sz w:val="22"/>
          <w:szCs w:val="22"/>
        </w:rPr>
        <w:t>P5</w:t>
      </w:r>
      <w:r w:rsidR="00D14EEA">
        <w:rPr>
          <w:sz w:val="22"/>
          <w:szCs w:val="22"/>
        </w:rPr>
        <w:t>)</w:t>
      </w:r>
      <w:r w:rsidR="00A70C41" w:rsidRPr="000412A1">
        <w:rPr>
          <w:sz w:val="22"/>
          <w:szCs w:val="22"/>
        </w:rPr>
        <w:t xml:space="preserve">. </w:t>
      </w:r>
    </w:p>
    <w:p w14:paraId="3B043E69" w14:textId="4984CDF2" w:rsidR="00A65D7E" w:rsidRPr="000412A1" w:rsidRDefault="00A65D7E" w:rsidP="00A65D7E">
      <w:pPr>
        <w:spacing w:after="160" w:line="480" w:lineRule="auto"/>
        <w:rPr>
          <w:sz w:val="22"/>
          <w:szCs w:val="22"/>
        </w:rPr>
      </w:pPr>
      <w:r w:rsidRPr="000412A1">
        <w:rPr>
          <w:sz w:val="22"/>
          <w:szCs w:val="22"/>
        </w:rPr>
        <w:fldChar w:fldCharType="begin" w:fldLock="1"/>
      </w:r>
      <w:r w:rsidR="00A07857" w:rsidRPr="000412A1">
        <w:rPr>
          <w:sz w:val="22"/>
          <w:szCs w:val="22"/>
        </w:rPr>
        <w:instrText>ADDIN CSL_CITATION { "citationItems" : [ { "id" : "ITEM-1", "itemData" : { "DOI" : "10.1016/j.watres.2012.05.047", "ISSN" : "00431354", "abstract" : "Even after mechanical dewatering, activated sludge contains a large amount of water. Due to its composition and biological nature this material is usually highly compressible and known to be difficult to dewater. In the present work, two treatments (salt addition and pH modification) are proposed to highlight some aspects which could explain the poor dewaterability of activated sludge. Dewatering tests are carried out in a pressure-driven device in order to well examine both, filtration and compression stages. Physico-chemical parameters, such as surface charge, hydrophobicity, extracellular polymeric substances (EPS) content and filtrate turbidity are measured on the tested sludge, for a better analysis of dewatering results.The dewatering ability of the sludge is widely linked to the cohesion of the flocculated matrix and the presence of fine particles. Both treatments alter the flocculated matrix and release fine particles. The release of fine particles tends to clog both, the filter cake and the filter medium. Consequently, the filtration rate decreases due to higher resistances to the flow. On another hand, the polymeric matrix breakdown enables to release some water trapped within the floc to the bulk liquid phase and thus facilitates its removal, which tends to decrease the moisture content of the filter-cake. It also impacts the compression dewatering step. The more destroyed structures lead to less elastic cakes and thus a slower primary consolidation stage. At the opposite, the mobility of the broken aggregates within the filter-cake does not seem to be improved by size reduction (the kinetics of the secondary consolidation stage are not significantly modified). \u00a9 2012 Elsevier Ltd.", "author" : [ { "dropping-particle" : "", "family" : "Raynaud", "given" : "Mickael", "non-dropping-particle" : "", "parse-names" : false, "suffix" : "" }, { "dropping-particle" : "", "family" : "Vaxelaire", "given" : "Jean", "non-dropping-particle" : "", "parse-names" : false, "suffix" : "" }, { "dropping-particle" : "", "family" : "Olivier", "given" : "J\u00e9r\u00e9my", "non-dropping-particle" : "", "parse-names" : false, "suffix" : "" }, { "dropping-particle" : "", "family" : "Dieud\u00e9-Fauvel", "given" : "Emilie", "non-dropping-particle" : "", "parse-names" : false, "suffix" : "" }, { "dropping-particle" : "", "family" : "Baudez", "given" : "Jean Christophe", "non-dropping-particle" : "", "parse-names" : false, "suffix" : "" } ], "container-title" : "Water Research", "id" : "ITEM-1", "issue" : "14", "issued" : { "date-parts" : [ [ "2012" ] ] }, "page" : "4448-4456", "title" : "Compression dewatering of municipal activated sludge: Effects of salt and pH", "type" : "article-journal", "volume" : "46" }, "uris" : [ "http://www.mendeley.com/documents/?uuid=b51108cd-aaeb-4de9-ad0a-aca0d115acbe", "http://www.mendeley.com/documents/?uuid=8c54bf61-2172-4812-8e1a-74a6d2e26f12", "http://www.mendeley.com/documents/?uuid=68c20593-df6c-40ce-b7c2-3916da7a2a3f" ] } ], "mendeley" : { "formattedCitation" : "(Raynaud et al., 2012)", "manualFormatting" : "Raynaud et al. (2012)", "plainTextFormattedCitation" : "(Raynaud et al., 2012)", "previouslyFormattedCitation" : "(Raynaud et al., 2012)" }, "properties" : {  }, "schema" : "https://github.com/citation-style-language/schema/raw/master/csl-citation.json" }</w:instrText>
      </w:r>
      <w:r w:rsidRPr="000412A1">
        <w:rPr>
          <w:sz w:val="22"/>
          <w:szCs w:val="22"/>
        </w:rPr>
        <w:fldChar w:fldCharType="separate"/>
      </w:r>
      <w:r w:rsidRPr="000412A1">
        <w:rPr>
          <w:noProof/>
          <w:sz w:val="22"/>
          <w:szCs w:val="22"/>
        </w:rPr>
        <w:t>Raynaud et al. (2012)</w:t>
      </w:r>
      <w:r w:rsidRPr="000412A1">
        <w:rPr>
          <w:sz w:val="22"/>
          <w:szCs w:val="22"/>
        </w:rPr>
        <w:fldChar w:fldCharType="end"/>
      </w:r>
      <w:r w:rsidRPr="000412A1">
        <w:rPr>
          <w:sz w:val="22"/>
          <w:szCs w:val="22"/>
        </w:rPr>
        <w:t xml:space="preserve"> found that</w:t>
      </w:r>
      <w:r w:rsidR="00423EA2" w:rsidRPr="000412A1">
        <w:rPr>
          <w:sz w:val="22"/>
          <w:szCs w:val="22"/>
        </w:rPr>
        <w:t xml:space="preserve"> </w:t>
      </w:r>
      <w:r w:rsidRPr="000412A1">
        <w:rPr>
          <w:sz w:val="22"/>
          <w:szCs w:val="22"/>
        </w:rPr>
        <w:t xml:space="preserve">pH is </w:t>
      </w:r>
      <w:r w:rsidR="004365E5" w:rsidRPr="000412A1">
        <w:rPr>
          <w:sz w:val="22"/>
          <w:szCs w:val="22"/>
        </w:rPr>
        <w:t xml:space="preserve">also </w:t>
      </w:r>
      <w:r w:rsidRPr="000412A1">
        <w:rPr>
          <w:sz w:val="22"/>
          <w:szCs w:val="22"/>
        </w:rPr>
        <w:t xml:space="preserve">an important factor </w:t>
      </w:r>
      <w:r w:rsidR="000B0085" w:rsidRPr="000412A1">
        <w:rPr>
          <w:sz w:val="22"/>
          <w:szCs w:val="22"/>
        </w:rPr>
        <w:t>when evaluating</w:t>
      </w:r>
      <w:r w:rsidR="00D14EEA" w:rsidRPr="00D14EEA">
        <w:rPr>
          <w:sz w:val="22"/>
          <w:szCs w:val="22"/>
        </w:rPr>
        <w:t xml:space="preserve"> </w:t>
      </w:r>
      <w:r w:rsidR="00D14EEA" w:rsidRPr="000412A1">
        <w:rPr>
          <w:sz w:val="22"/>
          <w:szCs w:val="22"/>
        </w:rPr>
        <w:t>sludge</w:t>
      </w:r>
      <w:r w:rsidR="000B0085" w:rsidRPr="000412A1">
        <w:rPr>
          <w:sz w:val="22"/>
          <w:szCs w:val="22"/>
        </w:rPr>
        <w:t xml:space="preserve"> </w:t>
      </w:r>
      <w:r w:rsidRPr="000412A1">
        <w:rPr>
          <w:sz w:val="22"/>
          <w:szCs w:val="22"/>
        </w:rPr>
        <w:t>particle</w:t>
      </w:r>
      <w:r w:rsidR="00B064A7">
        <w:rPr>
          <w:sz w:val="22"/>
          <w:szCs w:val="22"/>
        </w:rPr>
        <w:t xml:space="preserve"> </w:t>
      </w:r>
      <w:r w:rsidRPr="000412A1">
        <w:rPr>
          <w:sz w:val="22"/>
          <w:szCs w:val="22"/>
        </w:rPr>
        <w:t xml:space="preserve">size </w:t>
      </w:r>
      <w:r w:rsidR="000B0085" w:rsidRPr="000412A1">
        <w:rPr>
          <w:sz w:val="22"/>
          <w:szCs w:val="22"/>
        </w:rPr>
        <w:t xml:space="preserve">distribution </w:t>
      </w:r>
      <w:r w:rsidRPr="000412A1">
        <w:rPr>
          <w:sz w:val="22"/>
          <w:szCs w:val="22"/>
        </w:rPr>
        <w:t>and dewaterability characteristics</w:t>
      </w:r>
      <w:r w:rsidR="000B0085" w:rsidRPr="000412A1">
        <w:rPr>
          <w:sz w:val="22"/>
          <w:szCs w:val="22"/>
        </w:rPr>
        <w:t>.</w:t>
      </w:r>
      <w:r w:rsidRPr="000412A1">
        <w:rPr>
          <w:sz w:val="22"/>
          <w:szCs w:val="22"/>
        </w:rPr>
        <w:t xml:space="preserve"> </w:t>
      </w:r>
      <w:r w:rsidR="000B0085" w:rsidRPr="000412A1">
        <w:rPr>
          <w:sz w:val="22"/>
          <w:szCs w:val="22"/>
        </w:rPr>
        <w:t>H</w:t>
      </w:r>
      <w:r w:rsidRPr="000412A1">
        <w:rPr>
          <w:sz w:val="22"/>
          <w:szCs w:val="22"/>
        </w:rPr>
        <w:t xml:space="preserve">igh pH </w:t>
      </w:r>
      <w:r w:rsidR="000B0085" w:rsidRPr="000412A1">
        <w:rPr>
          <w:sz w:val="22"/>
          <w:szCs w:val="22"/>
        </w:rPr>
        <w:t xml:space="preserve">values </w:t>
      </w:r>
      <w:r w:rsidR="00CE59E7" w:rsidRPr="000412A1">
        <w:rPr>
          <w:sz w:val="22"/>
          <w:szCs w:val="22"/>
        </w:rPr>
        <w:t>favo</w:t>
      </w:r>
      <w:r w:rsidR="002F1467" w:rsidRPr="000412A1">
        <w:rPr>
          <w:sz w:val="22"/>
          <w:szCs w:val="22"/>
        </w:rPr>
        <w:t>u</w:t>
      </w:r>
      <w:r w:rsidR="00CE59E7" w:rsidRPr="000412A1">
        <w:rPr>
          <w:sz w:val="22"/>
          <w:szCs w:val="22"/>
        </w:rPr>
        <w:t>r</w:t>
      </w:r>
      <w:r w:rsidRPr="000412A1">
        <w:rPr>
          <w:sz w:val="22"/>
          <w:szCs w:val="22"/>
        </w:rPr>
        <w:t xml:space="preserve"> </w:t>
      </w:r>
      <w:r w:rsidR="002F1467" w:rsidRPr="000412A1">
        <w:rPr>
          <w:sz w:val="22"/>
          <w:szCs w:val="22"/>
        </w:rPr>
        <w:t xml:space="preserve">the </w:t>
      </w:r>
      <w:r w:rsidRPr="000412A1">
        <w:rPr>
          <w:sz w:val="22"/>
          <w:szCs w:val="22"/>
        </w:rPr>
        <w:t xml:space="preserve">breakdown of EPS </w:t>
      </w:r>
      <w:r w:rsidR="00423EA2" w:rsidRPr="000412A1">
        <w:rPr>
          <w:sz w:val="22"/>
          <w:szCs w:val="22"/>
        </w:rPr>
        <w:t xml:space="preserve">and the </w:t>
      </w:r>
      <w:r w:rsidRPr="000412A1">
        <w:rPr>
          <w:sz w:val="22"/>
          <w:szCs w:val="22"/>
        </w:rPr>
        <w:t>releas</w:t>
      </w:r>
      <w:r w:rsidR="00423EA2" w:rsidRPr="000412A1">
        <w:rPr>
          <w:sz w:val="22"/>
          <w:szCs w:val="22"/>
        </w:rPr>
        <w:t>e of</w:t>
      </w:r>
      <w:r w:rsidRPr="000412A1">
        <w:rPr>
          <w:sz w:val="22"/>
          <w:szCs w:val="22"/>
        </w:rPr>
        <w:t xml:space="preserve"> fine </w:t>
      </w:r>
      <w:r w:rsidR="00CE59E7" w:rsidRPr="000412A1">
        <w:rPr>
          <w:sz w:val="22"/>
          <w:szCs w:val="22"/>
        </w:rPr>
        <w:t>particles, which</w:t>
      </w:r>
      <w:r w:rsidR="004365E5" w:rsidRPr="000412A1">
        <w:rPr>
          <w:sz w:val="22"/>
          <w:szCs w:val="22"/>
        </w:rPr>
        <w:t xml:space="preserve"> are</w:t>
      </w:r>
      <w:r w:rsidRPr="000412A1">
        <w:rPr>
          <w:sz w:val="22"/>
          <w:szCs w:val="22"/>
        </w:rPr>
        <w:t xml:space="preserve"> </w:t>
      </w:r>
      <w:r w:rsidR="00423EA2" w:rsidRPr="000412A1">
        <w:rPr>
          <w:sz w:val="22"/>
          <w:szCs w:val="22"/>
        </w:rPr>
        <w:t xml:space="preserve">known to cause </w:t>
      </w:r>
      <w:r w:rsidRPr="000412A1">
        <w:rPr>
          <w:sz w:val="22"/>
          <w:szCs w:val="22"/>
        </w:rPr>
        <w:t xml:space="preserve">clogging </w:t>
      </w:r>
      <w:r w:rsidR="000B0085" w:rsidRPr="000412A1">
        <w:rPr>
          <w:sz w:val="22"/>
          <w:szCs w:val="22"/>
        </w:rPr>
        <w:t xml:space="preserve">problems in filtration media, whereas the decrease of </w:t>
      </w:r>
      <w:r w:rsidRPr="000412A1">
        <w:rPr>
          <w:sz w:val="22"/>
          <w:szCs w:val="22"/>
        </w:rPr>
        <w:t>pH promotes</w:t>
      </w:r>
      <w:r w:rsidR="00D14EEA" w:rsidRPr="00D14EEA">
        <w:rPr>
          <w:sz w:val="22"/>
          <w:szCs w:val="22"/>
        </w:rPr>
        <w:t xml:space="preserve"> </w:t>
      </w:r>
      <w:r w:rsidR="00D14EEA" w:rsidRPr="000412A1">
        <w:rPr>
          <w:sz w:val="22"/>
          <w:szCs w:val="22"/>
        </w:rPr>
        <w:t>flo</w:t>
      </w:r>
      <w:r w:rsidR="00D14EEA">
        <w:rPr>
          <w:sz w:val="22"/>
          <w:szCs w:val="22"/>
        </w:rPr>
        <w:t>c</w:t>
      </w:r>
      <w:r w:rsidRPr="000412A1">
        <w:rPr>
          <w:sz w:val="22"/>
          <w:szCs w:val="22"/>
        </w:rPr>
        <w:t xml:space="preserve"> aggregation</w:t>
      </w:r>
      <w:r w:rsidR="00D14EEA">
        <w:rPr>
          <w:sz w:val="22"/>
          <w:szCs w:val="22"/>
        </w:rPr>
        <w:t>,</w:t>
      </w:r>
      <w:r w:rsidRPr="000412A1">
        <w:rPr>
          <w:sz w:val="22"/>
          <w:szCs w:val="22"/>
        </w:rPr>
        <w:t xml:space="preserve"> improving filterability. </w:t>
      </w:r>
      <w:r w:rsidR="00D14EEA">
        <w:rPr>
          <w:sz w:val="22"/>
          <w:szCs w:val="22"/>
        </w:rPr>
        <w:lastRenderedPageBreak/>
        <w:t>F</w:t>
      </w:r>
      <w:r w:rsidRPr="000412A1">
        <w:rPr>
          <w:sz w:val="22"/>
          <w:szCs w:val="22"/>
        </w:rPr>
        <w:t xml:space="preserve">ilterability depends on </w:t>
      </w:r>
      <w:r w:rsidR="000B0085" w:rsidRPr="000412A1">
        <w:rPr>
          <w:sz w:val="22"/>
          <w:szCs w:val="22"/>
        </w:rPr>
        <w:t xml:space="preserve">the </w:t>
      </w:r>
      <w:r w:rsidRPr="000412A1">
        <w:rPr>
          <w:sz w:val="22"/>
          <w:szCs w:val="22"/>
        </w:rPr>
        <w:t>amount</w:t>
      </w:r>
      <w:r w:rsidR="000B0085" w:rsidRPr="000412A1">
        <w:rPr>
          <w:sz w:val="22"/>
          <w:szCs w:val="22"/>
        </w:rPr>
        <w:t xml:space="preserve"> of</w:t>
      </w:r>
      <w:r w:rsidRPr="000412A1">
        <w:rPr>
          <w:sz w:val="22"/>
          <w:szCs w:val="22"/>
        </w:rPr>
        <w:t xml:space="preserve"> </w:t>
      </w:r>
      <w:proofErr w:type="spellStart"/>
      <w:r w:rsidRPr="000412A1">
        <w:rPr>
          <w:sz w:val="22"/>
          <w:szCs w:val="22"/>
        </w:rPr>
        <w:t>supracolloidal</w:t>
      </w:r>
      <w:proofErr w:type="spellEnd"/>
      <w:r w:rsidRPr="000412A1">
        <w:rPr>
          <w:sz w:val="22"/>
          <w:szCs w:val="22"/>
        </w:rPr>
        <w:t xml:space="preserve"> substances and not </w:t>
      </w:r>
      <w:r w:rsidR="000B0085" w:rsidRPr="000412A1">
        <w:rPr>
          <w:sz w:val="22"/>
          <w:szCs w:val="22"/>
        </w:rPr>
        <w:t>directly</w:t>
      </w:r>
      <w:r w:rsidRPr="000412A1">
        <w:rPr>
          <w:sz w:val="22"/>
          <w:szCs w:val="22"/>
        </w:rPr>
        <w:t xml:space="preserve"> on</w:t>
      </w:r>
      <w:r w:rsidR="000B0085" w:rsidRPr="000412A1">
        <w:rPr>
          <w:sz w:val="22"/>
          <w:szCs w:val="22"/>
        </w:rPr>
        <w:t xml:space="preserve"> the</w:t>
      </w:r>
      <w:r w:rsidRPr="000412A1">
        <w:rPr>
          <w:sz w:val="22"/>
          <w:szCs w:val="22"/>
        </w:rPr>
        <w:t xml:space="preserve"> particle size </w:t>
      </w:r>
      <w:r w:rsidR="000B0085" w:rsidRPr="000412A1">
        <w:rPr>
          <w:sz w:val="22"/>
          <w:szCs w:val="22"/>
        </w:rPr>
        <w:t xml:space="preserve">of the sample, </w:t>
      </w:r>
      <w:r w:rsidRPr="000412A1">
        <w:rPr>
          <w:sz w:val="22"/>
          <w:szCs w:val="22"/>
        </w:rPr>
        <w:t>as</w:t>
      </w:r>
      <w:r w:rsidR="000B0085" w:rsidRPr="000412A1">
        <w:rPr>
          <w:sz w:val="22"/>
          <w:szCs w:val="22"/>
        </w:rPr>
        <w:t xml:space="preserve"> </w:t>
      </w:r>
      <w:r w:rsidR="00423EA2" w:rsidRPr="000412A1">
        <w:rPr>
          <w:sz w:val="22"/>
          <w:szCs w:val="22"/>
        </w:rPr>
        <w:t>observed by</w:t>
      </w:r>
      <w:r w:rsidRPr="000412A1">
        <w:rPr>
          <w:sz w:val="22"/>
          <w:szCs w:val="22"/>
        </w:rPr>
        <w:t xml:space="preserve"> </w:t>
      </w:r>
      <w:r w:rsidRPr="000412A1">
        <w:rPr>
          <w:sz w:val="22"/>
          <w:szCs w:val="22"/>
        </w:rPr>
        <w:fldChar w:fldCharType="begin" w:fldLock="1"/>
      </w:r>
      <w:r w:rsidR="00A07857" w:rsidRPr="000412A1">
        <w:rPr>
          <w:sz w:val="22"/>
          <w:szCs w:val="22"/>
        </w:rPr>
        <w:instrText>ADDIN CSL_CITATION { "citationItems" : [ { "id" : "ITEM-1", "itemData" : { "abstract" : "Results of an experimental investigation established that the particle size distribution of a sludge largely determines its dewatering characteristics as measured by the specific resistance test. This was observed for both sludges of the same type and sludges of different types. Moreover, changes in sludge dewaterability that usually are attributed to factors such as pH, biological degradation, mixing, and conditioning, for the most part, could be explained on the basis of changes these factors imposed on the particle size distribution of the solids. The higher the proportion of supracolloids, the more poorly the sludge dewaters.", "author" : [ { "dropping-particle" : "", "family" : "Karr", "given" : "Philip R.", "non-dropping-particle" : "", "parse-names" : false, "suffix" : "" }, { "dropping-particle" : "", "family" : "Keinath", "given" : "Thomas M.", "non-dropping-particle" : "", "parse-names" : false, "suffix" : "" } ], "container-title" : "Water Pollution Control Federation", "id" : "ITEM-1", "issue" : "8", "issued" : { "date-parts" : [ [ "1978" ] ] }, "page" : "1911-1930", "title" : "Influence of Particle Size on Sludge Dewaterability", "type" : "article-journal", "volume" : "50" }, "uris" : [ "http://www.mendeley.com/documents/?uuid=4c8f1cdc-b6d9-49d5-a7d8-1b86f40d9430", "http://www.mendeley.com/documents/?uuid=edabe0c0-26f7-478d-8fd5-3990eb62996c", "http://www.mendeley.com/documents/?uuid=a8de3c56-e395-4fbf-89a4-c8d37301ec1e" ] } ], "mendeley" : { "formattedCitation" : "(Karr and Keinath, 1978)", "manualFormatting" : "Karr and Keinath (1978)", "plainTextFormattedCitation" : "(Karr and Keinath, 1978)", "previouslyFormattedCitation" : "(Karr and Keinath, 1978)" }, "properties" : {  }, "schema" : "https://github.com/citation-style-language/schema/raw/master/csl-citation.json" }</w:instrText>
      </w:r>
      <w:r w:rsidRPr="000412A1">
        <w:rPr>
          <w:sz w:val="22"/>
          <w:szCs w:val="22"/>
        </w:rPr>
        <w:fldChar w:fldCharType="separate"/>
      </w:r>
      <w:r w:rsidRPr="000412A1">
        <w:rPr>
          <w:noProof/>
          <w:sz w:val="22"/>
          <w:szCs w:val="22"/>
        </w:rPr>
        <w:t>Karr and Keinath</w:t>
      </w:r>
      <w:r w:rsidR="000B0085" w:rsidRPr="000412A1">
        <w:rPr>
          <w:noProof/>
          <w:sz w:val="22"/>
          <w:szCs w:val="22"/>
        </w:rPr>
        <w:t xml:space="preserve"> </w:t>
      </w:r>
      <w:r w:rsidR="000D47AE" w:rsidRPr="000412A1">
        <w:rPr>
          <w:noProof/>
          <w:sz w:val="22"/>
          <w:szCs w:val="22"/>
        </w:rPr>
        <w:t>(</w:t>
      </w:r>
      <w:r w:rsidRPr="000412A1">
        <w:rPr>
          <w:noProof/>
          <w:sz w:val="22"/>
          <w:szCs w:val="22"/>
        </w:rPr>
        <w:t>1978)</w:t>
      </w:r>
      <w:r w:rsidRPr="000412A1">
        <w:rPr>
          <w:sz w:val="22"/>
          <w:szCs w:val="22"/>
        </w:rPr>
        <w:fldChar w:fldCharType="end"/>
      </w:r>
      <w:r w:rsidRPr="000412A1">
        <w:rPr>
          <w:sz w:val="22"/>
          <w:szCs w:val="22"/>
        </w:rPr>
        <w:t xml:space="preserve">. </w:t>
      </w:r>
      <w:r w:rsidR="00324282" w:rsidRPr="000412A1">
        <w:rPr>
          <w:sz w:val="22"/>
          <w:szCs w:val="22"/>
        </w:rPr>
        <w:t xml:space="preserve">However, the modification of pH </w:t>
      </w:r>
      <w:r w:rsidR="00D14EEA">
        <w:rPr>
          <w:sz w:val="22"/>
          <w:szCs w:val="22"/>
        </w:rPr>
        <w:t>on</w:t>
      </w:r>
      <w:r w:rsidR="00D14EEA" w:rsidRPr="000412A1">
        <w:rPr>
          <w:sz w:val="22"/>
          <w:szCs w:val="22"/>
        </w:rPr>
        <w:t xml:space="preserve"> </w:t>
      </w:r>
      <w:r w:rsidR="00423EA2" w:rsidRPr="000412A1">
        <w:rPr>
          <w:sz w:val="22"/>
          <w:szCs w:val="22"/>
        </w:rPr>
        <w:t xml:space="preserve">a </w:t>
      </w:r>
      <w:r w:rsidR="00324282" w:rsidRPr="000412A1">
        <w:rPr>
          <w:sz w:val="22"/>
          <w:szCs w:val="22"/>
        </w:rPr>
        <w:t xml:space="preserve">large scale </w:t>
      </w:r>
      <w:r w:rsidR="002C270E" w:rsidRPr="000412A1">
        <w:rPr>
          <w:sz w:val="22"/>
          <w:szCs w:val="22"/>
        </w:rPr>
        <w:t>has</w:t>
      </w:r>
      <w:r w:rsidR="00324282" w:rsidRPr="000412A1">
        <w:rPr>
          <w:sz w:val="22"/>
          <w:szCs w:val="22"/>
        </w:rPr>
        <w:t xml:space="preserve"> a significant effect on operating costs</w:t>
      </w:r>
      <w:r w:rsidR="00D14EEA">
        <w:rPr>
          <w:sz w:val="22"/>
          <w:szCs w:val="22"/>
        </w:rPr>
        <w:t>,</w:t>
      </w:r>
      <w:r w:rsidR="00324282" w:rsidRPr="000412A1">
        <w:rPr>
          <w:sz w:val="22"/>
          <w:szCs w:val="22"/>
        </w:rPr>
        <w:t xml:space="preserve"> and </w:t>
      </w:r>
      <w:r w:rsidR="00423EA2" w:rsidRPr="000412A1">
        <w:rPr>
          <w:sz w:val="22"/>
          <w:szCs w:val="22"/>
        </w:rPr>
        <w:t>it is an added bottleneck for sludge end</w:t>
      </w:r>
      <w:r w:rsidR="001E7DCA" w:rsidRPr="000412A1">
        <w:rPr>
          <w:sz w:val="22"/>
          <w:szCs w:val="22"/>
        </w:rPr>
        <w:t xml:space="preserve"> </w:t>
      </w:r>
      <w:r w:rsidR="00423EA2" w:rsidRPr="000412A1">
        <w:rPr>
          <w:sz w:val="22"/>
          <w:szCs w:val="22"/>
        </w:rPr>
        <w:t>disposal</w:t>
      </w:r>
      <w:r w:rsidR="00324282" w:rsidRPr="000412A1">
        <w:rPr>
          <w:sz w:val="22"/>
          <w:szCs w:val="22"/>
        </w:rPr>
        <w:t>. In the present study</w:t>
      </w:r>
      <w:r w:rsidR="00423EA2" w:rsidRPr="000412A1">
        <w:rPr>
          <w:sz w:val="22"/>
          <w:szCs w:val="22"/>
        </w:rPr>
        <w:t>,</w:t>
      </w:r>
      <w:r w:rsidR="00324282" w:rsidRPr="000412A1">
        <w:rPr>
          <w:sz w:val="22"/>
          <w:szCs w:val="22"/>
        </w:rPr>
        <w:t xml:space="preserve"> </w:t>
      </w:r>
      <w:r w:rsidR="00423EA2" w:rsidRPr="000412A1">
        <w:rPr>
          <w:sz w:val="22"/>
          <w:szCs w:val="22"/>
        </w:rPr>
        <w:t xml:space="preserve">where the pH in the P4 post-treatment was fixed to 10 units, </w:t>
      </w:r>
      <w:r w:rsidR="00324282" w:rsidRPr="000412A1">
        <w:rPr>
          <w:sz w:val="22"/>
          <w:szCs w:val="22"/>
        </w:rPr>
        <w:t>dewaterability parameters</w:t>
      </w:r>
      <w:r w:rsidR="00423EA2" w:rsidRPr="000412A1">
        <w:rPr>
          <w:sz w:val="22"/>
          <w:szCs w:val="22"/>
        </w:rPr>
        <w:t xml:space="preserve"> were enhanced</w:t>
      </w:r>
      <w:r w:rsidR="00D14EEA">
        <w:rPr>
          <w:sz w:val="22"/>
          <w:szCs w:val="22"/>
        </w:rPr>
        <w:t>,</w:t>
      </w:r>
      <w:r w:rsidR="004365E5" w:rsidRPr="000412A1">
        <w:rPr>
          <w:sz w:val="22"/>
          <w:szCs w:val="22"/>
        </w:rPr>
        <w:t xml:space="preserve"> </w:t>
      </w:r>
      <w:r w:rsidR="002F1467" w:rsidRPr="000412A1">
        <w:rPr>
          <w:sz w:val="22"/>
          <w:szCs w:val="22"/>
        </w:rPr>
        <w:t>but</w:t>
      </w:r>
      <w:r w:rsidR="004365E5" w:rsidRPr="000412A1">
        <w:rPr>
          <w:sz w:val="22"/>
          <w:szCs w:val="22"/>
        </w:rPr>
        <w:t xml:space="preserve"> the high value of </w:t>
      </w:r>
      <w:r w:rsidR="00BB6887" w:rsidRPr="000412A1">
        <w:rPr>
          <w:sz w:val="22"/>
          <w:szCs w:val="22"/>
        </w:rPr>
        <w:t>pH</w:t>
      </w:r>
      <w:r w:rsidR="004365E5" w:rsidRPr="000412A1">
        <w:rPr>
          <w:sz w:val="22"/>
          <w:szCs w:val="22"/>
        </w:rPr>
        <w:t xml:space="preserve"> </w:t>
      </w:r>
      <w:r w:rsidR="00C33BE7" w:rsidRPr="000412A1">
        <w:rPr>
          <w:sz w:val="22"/>
          <w:szCs w:val="22"/>
        </w:rPr>
        <w:t xml:space="preserve">can </w:t>
      </w:r>
      <w:r w:rsidR="00C17E61" w:rsidRPr="000412A1">
        <w:rPr>
          <w:sz w:val="22"/>
          <w:szCs w:val="22"/>
        </w:rPr>
        <w:t xml:space="preserve">be challenging when finding a </w:t>
      </w:r>
      <w:r w:rsidR="002F1467" w:rsidRPr="000412A1">
        <w:rPr>
          <w:sz w:val="22"/>
          <w:szCs w:val="22"/>
        </w:rPr>
        <w:t>final disposal</w:t>
      </w:r>
      <w:r w:rsidR="00C17E61" w:rsidRPr="000412A1">
        <w:rPr>
          <w:sz w:val="22"/>
          <w:szCs w:val="22"/>
        </w:rPr>
        <w:t xml:space="preserve"> solution</w:t>
      </w:r>
      <w:r w:rsidR="004365E5" w:rsidRPr="000412A1">
        <w:rPr>
          <w:sz w:val="22"/>
          <w:szCs w:val="22"/>
        </w:rPr>
        <w:t xml:space="preserve">. </w:t>
      </w:r>
    </w:p>
    <w:p w14:paraId="5ABDE238" w14:textId="583FFA0F" w:rsidR="003C318E" w:rsidRPr="009A0A82" w:rsidRDefault="000B0085" w:rsidP="006F7A26">
      <w:pPr>
        <w:spacing w:line="480" w:lineRule="auto"/>
        <w:rPr>
          <w:bCs/>
          <w:i/>
          <w:iCs/>
        </w:rPr>
      </w:pPr>
      <w:r w:rsidRPr="009A0A82">
        <w:rPr>
          <w:bCs/>
          <w:i/>
          <w:iCs/>
        </w:rPr>
        <w:t xml:space="preserve">3.4. FTIR </w:t>
      </w:r>
      <w:r w:rsidR="001E7DCA" w:rsidRPr="009A0A82">
        <w:rPr>
          <w:bCs/>
          <w:i/>
          <w:iCs/>
        </w:rPr>
        <w:t>A</w:t>
      </w:r>
      <w:r w:rsidRPr="009A0A82">
        <w:rPr>
          <w:bCs/>
          <w:i/>
          <w:iCs/>
        </w:rPr>
        <w:t>nalysis</w:t>
      </w:r>
      <w:r w:rsidR="001E7DCA" w:rsidRPr="009A0A82">
        <w:rPr>
          <w:bCs/>
          <w:i/>
          <w:iCs/>
        </w:rPr>
        <w:t xml:space="preserve"> Results</w:t>
      </w:r>
    </w:p>
    <w:p w14:paraId="72EF0FD6" w14:textId="4372E6E4" w:rsidR="00B02550" w:rsidRPr="000412A1" w:rsidRDefault="00CA3F71" w:rsidP="006A74BC">
      <w:pPr>
        <w:spacing w:after="160" w:line="480" w:lineRule="auto"/>
        <w:rPr>
          <w:sz w:val="22"/>
          <w:szCs w:val="22"/>
        </w:rPr>
      </w:pPr>
      <w:r w:rsidRPr="000412A1">
        <w:rPr>
          <w:sz w:val="22"/>
          <w:szCs w:val="22"/>
        </w:rPr>
        <w:t xml:space="preserve">FTIR analysis </w:t>
      </w:r>
      <w:r w:rsidR="00AF1294" w:rsidRPr="000412A1">
        <w:rPr>
          <w:sz w:val="22"/>
          <w:szCs w:val="22"/>
        </w:rPr>
        <w:t xml:space="preserve">was </w:t>
      </w:r>
      <w:r w:rsidRPr="000412A1">
        <w:rPr>
          <w:sz w:val="22"/>
          <w:szCs w:val="22"/>
        </w:rPr>
        <w:t xml:space="preserve">carried out </w:t>
      </w:r>
      <w:r w:rsidR="00E75D32" w:rsidRPr="000412A1">
        <w:rPr>
          <w:sz w:val="22"/>
          <w:szCs w:val="22"/>
        </w:rPr>
        <w:t>to assess t</w:t>
      </w:r>
      <w:r w:rsidR="00127130" w:rsidRPr="000412A1">
        <w:rPr>
          <w:sz w:val="22"/>
          <w:szCs w:val="22"/>
        </w:rPr>
        <w:t xml:space="preserve">he effect </w:t>
      </w:r>
      <w:r w:rsidR="00E75D32" w:rsidRPr="000412A1">
        <w:rPr>
          <w:sz w:val="22"/>
          <w:szCs w:val="22"/>
        </w:rPr>
        <w:t>of digested</w:t>
      </w:r>
      <w:r w:rsidR="00B064A7">
        <w:rPr>
          <w:sz w:val="22"/>
          <w:szCs w:val="22"/>
        </w:rPr>
        <w:t xml:space="preserve"> </w:t>
      </w:r>
      <w:r w:rsidR="00E75D32" w:rsidRPr="000412A1">
        <w:rPr>
          <w:sz w:val="22"/>
          <w:szCs w:val="22"/>
        </w:rPr>
        <w:t xml:space="preserve">sludge stability after the application of </w:t>
      </w:r>
      <w:r w:rsidR="00ED2497" w:rsidRPr="000412A1">
        <w:rPr>
          <w:sz w:val="22"/>
          <w:szCs w:val="22"/>
        </w:rPr>
        <w:t>electro</w:t>
      </w:r>
      <w:r w:rsidR="001E7DCA" w:rsidRPr="000412A1">
        <w:rPr>
          <w:sz w:val="22"/>
          <w:szCs w:val="22"/>
        </w:rPr>
        <w:t>-</w:t>
      </w:r>
      <w:r w:rsidR="00ED2497" w:rsidRPr="000412A1">
        <w:rPr>
          <w:sz w:val="22"/>
          <w:szCs w:val="22"/>
        </w:rPr>
        <w:t>oxidation</w:t>
      </w:r>
      <w:r w:rsidR="00127130" w:rsidRPr="000412A1">
        <w:rPr>
          <w:sz w:val="22"/>
          <w:szCs w:val="22"/>
        </w:rPr>
        <w:t xml:space="preserve"> </w:t>
      </w:r>
      <w:r w:rsidR="008A05F1" w:rsidRPr="000412A1">
        <w:rPr>
          <w:sz w:val="22"/>
          <w:szCs w:val="22"/>
        </w:rPr>
        <w:t>as post-treatment</w:t>
      </w:r>
      <w:r w:rsidR="001E7DCA" w:rsidRPr="000412A1">
        <w:rPr>
          <w:sz w:val="22"/>
          <w:szCs w:val="22"/>
        </w:rPr>
        <w:t xml:space="preserve">. </w:t>
      </w:r>
      <w:r w:rsidR="00CB231F" w:rsidRPr="000412A1">
        <w:rPr>
          <w:sz w:val="22"/>
          <w:szCs w:val="22"/>
        </w:rPr>
        <w:t>Fig</w:t>
      </w:r>
      <w:r w:rsidR="001E7DCA" w:rsidRPr="000412A1">
        <w:rPr>
          <w:sz w:val="22"/>
          <w:szCs w:val="22"/>
        </w:rPr>
        <w:t xml:space="preserve">ure </w:t>
      </w:r>
      <w:r w:rsidR="00204F63" w:rsidRPr="000412A1">
        <w:rPr>
          <w:sz w:val="22"/>
          <w:szCs w:val="22"/>
        </w:rPr>
        <w:t>5</w:t>
      </w:r>
      <w:r w:rsidR="008A05F1" w:rsidRPr="000412A1">
        <w:rPr>
          <w:sz w:val="20"/>
          <w:szCs w:val="20"/>
        </w:rPr>
        <w:t xml:space="preserve"> </w:t>
      </w:r>
      <w:r w:rsidR="008A05F1" w:rsidRPr="000412A1">
        <w:rPr>
          <w:sz w:val="22"/>
          <w:szCs w:val="22"/>
        </w:rPr>
        <w:t>presents the spectra obtained from inoculum</w:t>
      </w:r>
      <w:r w:rsidR="008E6DD1" w:rsidRPr="000412A1">
        <w:rPr>
          <w:sz w:val="22"/>
          <w:szCs w:val="22"/>
        </w:rPr>
        <w:t>,</w:t>
      </w:r>
      <w:r w:rsidR="008A05F1" w:rsidRPr="000412A1">
        <w:rPr>
          <w:sz w:val="22"/>
          <w:szCs w:val="22"/>
        </w:rPr>
        <w:t xml:space="preserve"> digestate</w:t>
      </w:r>
      <w:r w:rsidR="001E7DCA" w:rsidRPr="000412A1">
        <w:rPr>
          <w:sz w:val="22"/>
          <w:szCs w:val="22"/>
        </w:rPr>
        <w:t>,</w:t>
      </w:r>
      <w:r w:rsidR="008A05F1" w:rsidRPr="000412A1">
        <w:rPr>
          <w:sz w:val="22"/>
          <w:szCs w:val="22"/>
        </w:rPr>
        <w:t xml:space="preserve"> </w:t>
      </w:r>
      <w:r w:rsidR="008E6DD1" w:rsidRPr="000412A1">
        <w:rPr>
          <w:sz w:val="22"/>
          <w:szCs w:val="22"/>
        </w:rPr>
        <w:t xml:space="preserve">and </w:t>
      </w:r>
      <w:r w:rsidR="001E7DCA" w:rsidRPr="000412A1">
        <w:rPr>
          <w:sz w:val="22"/>
          <w:szCs w:val="22"/>
        </w:rPr>
        <w:t xml:space="preserve">the obtained </w:t>
      </w:r>
      <w:r w:rsidRPr="000412A1">
        <w:rPr>
          <w:sz w:val="22"/>
          <w:szCs w:val="22"/>
        </w:rPr>
        <w:t>samples when</w:t>
      </w:r>
      <w:r w:rsidR="001E7DCA" w:rsidRPr="000412A1">
        <w:rPr>
          <w:sz w:val="22"/>
          <w:szCs w:val="22"/>
        </w:rPr>
        <w:t xml:space="preserve"> the</w:t>
      </w:r>
      <w:r w:rsidRPr="000412A1">
        <w:rPr>
          <w:sz w:val="22"/>
          <w:szCs w:val="22"/>
        </w:rPr>
        <w:t xml:space="preserve"> digested sludge was </w:t>
      </w:r>
      <w:r w:rsidR="008A05F1" w:rsidRPr="000412A1">
        <w:rPr>
          <w:sz w:val="22"/>
          <w:szCs w:val="22"/>
        </w:rPr>
        <w:t>submitted to the different post-treatments (P1</w:t>
      </w:r>
      <w:r w:rsidR="001E7DCA" w:rsidRPr="000412A1">
        <w:rPr>
          <w:sz w:val="22"/>
          <w:szCs w:val="22"/>
        </w:rPr>
        <w:t>–</w:t>
      </w:r>
      <w:r w:rsidR="008A05F1" w:rsidRPr="000412A1">
        <w:rPr>
          <w:sz w:val="22"/>
          <w:szCs w:val="22"/>
        </w:rPr>
        <w:t xml:space="preserve">P5). Main absorbance bands and assignments </w:t>
      </w:r>
      <w:r w:rsidRPr="000412A1">
        <w:rPr>
          <w:sz w:val="22"/>
          <w:szCs w:val="22"/>
        </w:rPr>
        <w:t xml:space="preserve">of </w:t>
      </w:r>
      <w:r w:rsidR="008A05F1" w:rsidRPr="000412A1">
        <w:rPr>
          <w:sz w:val="22"/>
          <w:szCs w:val="22"/>
        </w:rPr>
        <w:t xml:space="preserve">FTIR </w:t>
      </w:r>
      <w:r w:rsidRPr="000412A1">
        <w:rPr>
          <w:sz w:val="22"/>
          <w:szCs w:val="22"/>
        </w:rPr>
        <w:t xml:space="preserve">spectra </w:t>
      </w:r>
      <w:r w:rsidR="00E47B71" w:rsidRPr="000412A1">
        <w:rPr>
          <w:sz w:val="22"/>
          <w:szCs w:val="22"/>
        </w:rPr>
        <w:t xml:space="preserve">were </w:t>
      </w:r>
      <w:r w:rsidRPr="000412A1">
        <w:rPr>
          <w:sz w:val="22"/>
          <w:szCs w:val="22"/>
        </w:rPr>
        <w:t xml:space="preserve">performed using </w:t>
      </w:r>
      <w:r w:rsidR="008A05F1" w:rsidRPr="000412A1">
        <w:rPr>
          <w:sz w:val="22"/>
          <w:szCs w:val="22"/>
        </w:rPr>
        <w:t xml:space="preserve">previously reported </w:t>
      </w:r>
      <w:r w:rsidRPr="000412A1">
        <w:rPr>
          <w:sz w:val="22"/>
          <w:szCs w:val="22"/>
        </w:rPr>
        <w:t xml:space="preserve">data </w:t>
      </w:r>
      <w:r w:rsidR="008A05F1" w:rsidRPr="000412A1">
        <w:rPr>
          <w:sz w:val="22"/>
          <w:szCs w:val="22"/>
        </w:rPr>
        <w:t xml:space="preserve">for </w:t>
      </w:r>
      <w:r w:rsidRPr="000412A1">
        <w:rPr>
          <w:sz w:val="22"/>
          <w:szCs w:val="22"/>
        </w:rPr>
        <w:t xml:space="preserve">different </w:t>
      </w:r>
      <w:r w:rsidR="008A05F1" w:rsidRPr="000412A1">
        <w:rPr>
          <w:sz w:val="22"/>
          <w:szCs w:val="22"/>
        </w:rPr>
        <w:t xml:space="preserve">digestates </w:t>
      </w:r>
      <w:r w:rsidRPr="000412A1">
        <w:rPr>
          <w:sz w:val="22"/>
          <w:szCs w:val="22"/>
        </w:rPr>
        <w:t xml:space="preserve">available in </w:t>
      </w:r>
      <w:r w:rsidR="00B02550" w:rsidRPr="000412A1">
        <w:rPr>
          <w:sz w:val="22"/>
          <w:szCs w:val="22"/>
        </w:rPr>
        <w:t xml:space="preserve">the </w:t>
      </w:r>
      <w:r w:rsidRPr="000412A1">
        <w:rPr>
          <w:sz w:val="22"/>
          <w:szCs w:val="22"/>
        </w:rPr>
        <w:t xml:space="preserve">literature </w:t>
      </w:r>
      <w:r w:rsidR="00B51D5F" w:rsidRPr="000412A1">
        <w:rPr>
          <w:sz w:val="22"/>
          <w:szCs w:val="22"/>
        </w:rPr>
        <w:fldChar w:fldCharType="begin" w:fldLock="1"/>
      </w:r>
      <w:r w:rsidR="00A07857" w:rsidRPr="000412A1">
        <w:rPr>
          <w:sz w:val="22"/>
          <w:szCs w:val="22"/>
        </w:rPr>
        <w:instrText>ADDIN CSL_CITATION { "citationItems" : [ { "id" : "ITEM-1", "itemData" : { "DOI" : "10.1002/ep.12352", "ISSN" : "19447450 19447442", "abstract" : "\u00a9 2016 American Institute of Chemical Engineers Environ ProgThe main purpose of this research was to assess sludge binding properties as a bioadsorbent towards cationic dyes. Digested sludge was used to adsorb a cationic dye (methylene blue) from aqueous solution. A complete spectroscopic analysis (FTIR, 1H NMR, and 13C NMR) was carried out on sludge before and after the adsorption of methylene blue and after two months of storage. Results showed the presence of important binding sites to cationic dyes. FTIR, 1H NMR, and 13C NMR analysis reflected the presence of carboxyl and amino groups, which play an important role in the adsorption of methylene blue due to chemical interactions. In addition, these techniques showed the accumulation of methylene blue after storage of samples for a two month period. The sludge matrix was modified by biological activity resulting in the preferential degradation of carbohydrate-type materials. \u00a9 2016 American Institute of Chemical Engineers Environ Prog, 35: 1330\u20131337, 2016.", "author" : [ { "dropping-particle" : "", "family" : "Mart\u00ednez", "given" : "E.J.", "non-dropping-particle" : "", "parse-names" : false, "suffix" : "" }, { "dropping-particle" : "", "family" : "Fierro", "given" : "J.", "non-dropping-particle" : "", "parse-names" : false, "suffix" : "" }, { "dropping-particle" : "", "family" : "Rosas", "given" : "J.G.", "non-dropping-particle" : "", "parse-names" : false, "suffix" : "" }, { "dropping-particle" : "", "family" : "Lobato", "given" : "A.", "non-dropping-particle" : "", "parse-names" : false, "suffix" : "" }, { "dropping-particle" : "", "family" : "Otero", "given" : "M.", "non-dropping-particle" : "", "parse-names" : false, "suffix" : "" }, { "dropping-particle" : "", "family" : "G\u00f3mez", "given" : "X.", "non-dropping-particle" : "", "parse-names" : false, "suffix" : "" } ], "container-title" : "Environmental Progress and Sustainable Energy", "id" : "ITEM-1", "issue" : "5", "issued" : { "date-parts" : [ [ "2016" ] ] }, "title" : "Assessment of cationic dye biosorption onto anaerobic digested sludge: Spectroscopic characterization", "type" : "article-journal", "volume" : "35" }, "uris" : [ "http://www.mendeley.com/documents/?uuid=e8ec6858-74ef-32de-bc6c-98b1b0fd214a", "http://www.mendeley.com/documents/?uuid=60325e9f-ae4b-4b3e-a2b6-183b9ce63c73" ] }, { "id" : "ITEM-2", "itemData" : { "DOI" : "10.1016/j.ibiod.2012.07.015", "ISSN" : "09648305", "abstract" : "The digestion of residues with high lipid content was investigated. The experimental work focussed on the assessment of co-digestion of sewage sludge and fat, oil and grease (FOG) residues separated from the grease trap of the pre-treatment system of a wastewater treatment plant. A 0.2% volumetric ratio was set, based on the volumetric production of these streams in the plant. The digestion was carried out under semi-continuous operation at mesophilic temperatures. The operation of reactors at a hydraulic retention time (HRT) of 30 days resulted in no observable modifications of the specific methane production when compared to results obtained from sludge digestion and co-digestion systems. However, a decrease in HRT resulted in the detriment of the co-digesting reactor, which was attributed to an inhibitory process associated with the adsorption of FOG onto active sludge. \u00a9 2012 Elsevier Ltd.", "author" : [ { "dropping-particle" : "", "family" : "Mart\u00ednez", "given" : "E.J.", "non-dropping-particle" : "", "parse-names" : false, "suffix" : "" }, { "dropping-particle" : "", "family" : "Fierro", "given" : "J.", "non-dropping-particle" : "", "parse-names" : false, "suffix" : "" }, { "dropping-particle" : "", "family" : "S\u00e1nchez", "given" : "M.E.", "non-dropping-particle" : "", "parse-names" : false, "suffix" : "" }, { "dropping-particle" : "", "family" : "G\u00f3mez", "given" : "X.", "non-dropping-particle" : "", "parse-names" : false, "suffix" : "" } ], "container-title" : "International Biodeterioration and Biodegradation", "id" : "ITEM-2", "issued" : { "date-parts" : [ [ "2012" ] ] }, "title" : "Anaerobic co-digestion of FOG and sewage sludge: Study of the process by Fourier transform infrared spectroscopy", "type" : "article-journal", "volume" : "75" }, "uris" : [ "http://www.mendeley.com/documents/?uuid=2a4e7cb6-b967-3b4c-9712-24ede70845bf", "http://www.mendeley.com/documents/?uuid=5b842a08-682d-4fe0-afe9-d9ab58aa0b0c" ] }, { "id" : "ITEM-3", "itemData" : { "DOI" : "10.4236/jep.2011.21009", "ISSN" : "2152-2197", "abstract" : "Anaerobic digestion of biomasses originates different products, the most abundant of which are methane and carbon dioxide. During this process, a 60-70% organic matter reduction occurs and the final product, the digestate, is characterized by high biological stability and high contents of recalcitrant organic molecules and nutrients. In the present work digestates obtained by different mixture of biomasses in a full-scale co-digestion plant operating in Italy were characterized as whole samples without any pre-treatment or extraction by means of Fourier transform infrared spec-troscopy and fluorescence spectroscopy in the synchronous-scan mode and results were compared to those obtained on the single fresh substrates. Biomasses considered were: beef cattle slurry, maize or sorghum silage, agro-industrial residues, olive residues and olive mill wastewater. These substrates exhibited typical spectra related to their different chemical composition. Results obtained on digestates provided evidence of distinctive characteristic of the final product as a function of the different composition of the biomasses loaded into the digestion plant. We concluded that FTIR and fluorescence spectra of digestates produced in a real co-digestion plant \"inherit\" the main spectroscopic features of the organic wastes from which they are produced. Spectroscopic techniques used in this work succeeded in qualitatively characterizing and differentiating digestates obtained from biomasses of different chemical composition.", "author" : [ { "dropping-particle" : "", "family" : "Provenzano", "given" : "Maria Rosaria", "non-dropping-particle" : "", "parse-names" : false, "suffix" : "" }, { "dropping-particle" : "", "family" : "Iannuzzi", "given" : "Giuseppina", "non-dropping-particle" : "", "parse-names" : false, "suffix" : "" }, { "dropping-particle" : "", "family" : "Fabbri", "given" : "Claudio", "non-dropping-particle" : "", "parse-names" : false, "suffix" : "" }, { "dropping-particle" : "", "family" : "Senesi", "given" : "Nicola", "non-dropping-particle" : "", "parse-names" : false, "suffix" : "" } ], "container-title" : "Journal of Environmental Protection", "id" : "ITEM-3", "issue" : "01", "issued" : { "date-parts" : [ [ "2011" ] ] }, "page" : "83-89", "title" : "Qualitative Characterization and Differentiation of Digestates from Different Biowastes Using FTIR and Fluorescence Spectroscopies", "type" : "article-journal", "volume" : "02" }, "uris" : [ "http://www.mendeley.com/documents/?uuid=45ee1d12-c0be-4616-b168-87ea8c000012", "http://www.mendeley.com/documents/?uuid=78919787-1cc7-48af-b627-bec9df3b99c4" ] } ], "mendeley" : { "formattedCitation" : "(Mart\u00ednez et al., 2016, 2012; Provenzano et al., 2011)", "plainTextFormattedCitation" : "(Mart\u00ednez et al., 2016, 2012; Provenzano et al., 2011)", "previouslyFormattedCitation" : "(Mart\u00ednez et al., 2016, 2012; Provenzano et al., 2011)" }, "properties" : {  }, "schema" : "https://github.com/citation-style-language/schema/raw/master/csl-citation.json" }</w:instrText>
      </w:r>
      <w:r w:rsidR="00B51D5F" w:rsidRPr="000412A1">
        <w:rPr>
          <w:sz w:val="22"/>
          <w:szCs w:val="22"/>
        </w:rPr>
        <w:fldChar w:fldCharType="separate"/>
      </w:r>
      <w:r w:rsidR="00B51D5F" w:rsidRPr="000412A1">
        <w:rPr>
          <w:noProof/>
          <w:sz w:val="22"/>
          <w:szCs w:val="22"/>
        </w:rPr>
        <w:t>(Martínez et al., 2016, 2012; Provenzano et al., 2011)</w:t>
      </w:r>
      <w:r w:rsidR="00B51D5F" w:rsidRPr="000412A1">
        <w:rPr>
          <w:sz w:val="22"/>
          <w:szCs w:val="22"/>
        </w:rPr>
        <w:fldChar w:fldCharType="end"/>
      </w:r>
      <w:r w:rsidR="008A05F1" w:rsidRPr="000412A1">
        <w:rPr>
          <w:sz w:val="22"/>
          <w:szCs w:val="22"/>
        </w:rPr>
        <w:t>.</w:t>
      </w:r>
    </w:p>
    <w:p w14:paraId="33F57AB6" w14:textId="77777777" w:rsidR="003927EC" w:rsidRPr="000412A1" w:rsidRDefault="005268A8" w:rsidP="005268A8">
      <w:pPr>
        <w:pStyle w:val="Epgrafe"/>
        <w:rPr>
          <w:i w:val="0"/>
          <w:color w:val="auto"/>
          <w:sz w:val="22"/>
          <w:szCs w:val="22"/>
        </w:rPr>
      </w:pPr>
      <w:r w:rsidRPr="000412A1">
        <w:rPr>
          <w:noProof/>
          <w:sz w:val="22"/>
          <w:szCs w:val="22"/>
          <w:lang w:val="es-ES" w:eastAsia="es-ES"/>
        </w:rPr>
        <w:drawing>
          <wp:inline distT="0" distB="0" distL="0" distR="0" wp14:anchorId="02C9E4FE" wp14:editId="21BA75A1">
            <wp:extent cx="2880000" cy="343268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0" cy="3432687"/>
                    </a:xfrm>
                    <a:prstGeom prst="rect">
                      <a:avLst/>
                    </a:prstGeom>
                  </pic:spPr>
                </pic:pic>
              </a:graphicData>
            </a:graphic>
          </wp:inline>
        </w:drawing>
      </w:r>
      <w:bookmarkStart w:id="10" w:name="_Ref33044566"/>
    </w:p>
    <w:p w14:paraId="21E65460" w14:textId="2A10936B" w:rsidR="005268A8" w:rsidRPr="000412A1" w:rsidRDefault="005268A8" w:rsidP="005268A8">
      <w:pPr>
        <w:pStyle w:val="Epgrafe"/>
        <w:rPr>
          <w:i w:val="0"/>
          <w:color w:val="auto"/>
          <w:sz w:val="22"/>
          <w:szCs w:val="22"/>
        </w:rPr>
      </w:pPr>
      <w:r w:rsidRPr="009A0A82">
        <w:rPr>
          <w:b/>
          <w:bCs/>
          <w:i w:val="0"/>
          <w:color w:val="auto"/>
          <w:sz w:val="22"/>
          <w:szCs w:val="22"/>
        </w:rPr>
        <w:t>Fig</w:t>
      </w:r>
      <w:r w:rsidR="001E7DCA" w:rsidRPr="009A0A82">
        <w:rPr>
          <w:b/>
          <w:bCs/>
          <w:i w:val="0"/>
          <w:color w:val="auto"/>
          <w:sz w:val="22"/>
          <w:szCs w:val="22"/>
        </w:rPr>
        <w:t xml:space="preserve">ure </w:t>
      </w:r>
      <w:bookmarkEnd w:id="10"/>
      <w:r w:rsidR="00204F63" w:rsidRPr="009A0A82">
        <w:rPr>
          <w:b/>
          <w:bCs/>
          <w:i w:val="0"/>
          <w:color w:val="auto"/>
          <w:sz w:val="22"/>
          <w:szCs w:val="22"/>
        </w:rPr>
        <w:t>5</w:t>
      </w:r>
      <w:r w:rsidRPr="000412A1">
        <w:rPr>
          <w:i w:val="0"/>
          <w:color w:val="auto"/>
          <w:sz w:val="22"/>
          <w:szCs w:val="22"/>
        </w:rPr>
        <w:t xml:space="preserve">. FTIR spectra of sludge samples before and after </w:t>
      </w:r>
      <w:r w:rsidR="00D14EEA">
        <w:rPr>
          <w:i w:val="0"/>
          <w:color w:val="auto"/>
          <w:sz w:val="22"/>
          <w:szCs w:val="22"/>
        </w:rPr>
        <w:t>electro-oxidation (</w:t>
      </w:r>
      <w:r w:rsidRPr="000412A1">
        <w:rPr>
          <w:i w:val="0"/>
          <w:color w:val="auto"/>
          <w:sz w:val="22"/>
          <w:szCs w:val="22"/>
        </w:rPr>
        <w:t>EO</w:t>
      </w:r>
      <w:r w:rsidR="00D14EEA">
        <w:rPr>
          <w:i w:val="0"/>
          <w:color w:val="auto"/>
          <w:sz w:val="22"/>
          <w:szCs w:val="22"/>
        </w:rPr>
        <w:t>)</w:t>
      </w:r>
      <w:r w:rsidRPr="000412A1">
        <w:rPr>
          <w:i w:val="0"/>
          <w:color w:val="auto"/>
          <w:sz w:val="22"/>
          <w:szCs w:val="22"/>
        </w:rPr>
        <w:t xml:space="preserve"> post-treatment.</w:t>
      </w:r>
    </w:p>
    <w:p w14:paraId="154040DF" w14:textId="77777777" w:rsidR="005268A8" w:rsidRPr="000412A1" w:rsidRDefault="005268A8" w:rsidP="006A74BC">
      <w:pPr>
        <w:spacing w:after="160" w:line="480" w:lineRule="auto"/>
        <w:rPr>
          <w:sz w:val="22"/>
          <w:szCs w:val="22"/>
        </w:rPr>
      </w:pPr>
    </w:p>
    <w:p w14:paraId="546D3D38" w14:textId="2E0FDDD9" w:rsidR="006A74BC" w:rsidRPr="000412A1" w:rsidRDefault="00CE7978" w:rsidP="006A74BC">
      <w:pPr>
        <w:spacing w:after="160" w:line="480" w:lineRule="auto"/>
        <w:rPr>
          <w:sz w:val="22"/>
          <w:szCs w:val="22"/>
        </w:rPr>
      </w:pPr>
      <w:r w:rsidRPr="000412A1">
        <w:rPr>
          <w:sz w:val="22"/>
          <w:szCs w:val="22"/>
        </w:rPr>
        <w:lastRenderedPageBreak/>
        <w:t xml:space="preserve">The digested sludge </w:t>
      </w:r>
      <w:r w:rsidR="00CA3F71" w:rsidRPr="000412A1">
        <w:rPr>
          <w:sz w:val="22"/>
          <w:szCs w:val="22"/>
        </w:rPr>
        <w:t>was</w:t>
      </w:r>
      <w:r w:rsidR="006A74BC" w:rsidRPr="000412A1">
        <w:rPr>
          <w:sz w:val="22"/>
          <w:szCs w:val="22"/>
        </w:rPr>
        <w:t xml:space="preserve"> </w:t>
      </w:r>
      <w:r w:rsidR="00CA3F71" w:rsidRPr="000412A1">
        <w:rPr>
          <w:sz w:val="22"/>
          <w:szCs w:val="22"/>
        </w:rPr>
        <w:t xml:space="preserve">characterised </w:t>
      </w:r>
      <w:r w:rsidR="006A74BC" w:rsidRPr="000412A1">
        <w:rPr>
          <w:sz w:val="22"/>
          <w:szCs w:val="22"/>
        </w:rPr>
        <w:t xml:space="preserve">by a broad and </w:t>
      </w:r>
      <w:proofErr w:type="spellStart"/>
      <w:r w:rsidR="006A74BC" w:rsidRPr="000412A1">
        <w:rPr>
          <w:sz w:val="22"/>
          <w:szCs w:val="22"/>
        </w:rPr>
        <w:t>midintense</w:t>
      </w:r>
      <w:proofErr w:type="spellEnd"/>
      <w:r w:rsidR="006A74BC" w:rsidRPr="000412A1">
        <w:rPr>
          <w:sz w:val="22"/>
          <w:szCs w:val="22"/>
        </w:rPr>
        <w:t xml:space="preserve"> band in the region </w:t>
      </w:r>
      <w:r w:rsidR="00D14EEA">
        <w:rPr>
          <w:sz w:val="22"/>
          <w:szCs w:val="22"/>
        </w:rPr>
        <w:t>of</w:t>
      </w:r>
      <w:r w:rsidR="00D14EEA" w:rsidRPr="000412A1">
        <w:rPr>
          <w:sz w:val="22"/>
          <w:szCs w:val="22"/>
        </w:rPr>
        <w:t xml:space="preserve"> </w:t>
      </w:r>
      <w:r w:rsidR="006A74BC" w:rsidRPr="000412A1">
        <w:rPr>
          <w:sz w:val="22"/>
          <w:szCs w:val="22"/>
        </w:rPr>
        <w:t>3920</w:t>
      </w:r>
      <w:r w:rsidR="001E7DCA" w:rsidRPr="000412A1">
        <w:rPr>
          <w:sz w:val="22"/>
          <w:szCs w:val="22"/>
        </w:rPr>
        <w:t>–</w:t>
      </w:r>
      <w:r w:rsidR="006A74BC" w:rsidRPr="000412A1">
        <w:rPr>
          <w:sz w:val="22"/>
          <w:szCs w:val="22"/>
        </w:rPr>
        <w:t>2890 cm</w:t>
      </w:r>
      <w:r w:rsidR="001E7DCA" w:rsidRPr="000412A1">
        <w:rPr>
          <w:sz w:val="22"/>
          <w:szCs w:val="22"/>
          <w:vertAlign w:val="superscript"/>
        </w:rPr>
        <w:t>–</w:t>
      </w:r>
      <w:r w:rsidR="006A74BC" w:rsidRPr="000412A1">
        <w:rPr>
          <w:sz w:val="22"/>
          <w:szCs w:val="22"/>
          <w:vertAlign w:val="superscript"/>
        </w:rPr>
        <w:t>1</w:t>
      </w:r>
      <w:r w:rsidR="006A74BC" w:rsidRPr="000412A1">
        <w:rPr>
          <w:sz w:val="22"/>
          <w:szCs w:val="22"/>
        </w:rPr>
        <w:t xml:space="preserve">. This band </w:t>
      </w:r>
      <w:r w:rsidRPr="000412A1">
        <w:rPr>
          <w:sz w:val="22"/>
          <w:szCs w:val="22"/>
        </w:rPr>
        <w:t>was</w:t>
      </w:r>
      <w:r w:rsidR="006A74BC" w:rsidRPr="000412A1">
        <w:rPr>
          <w:sz w:val="22"/>
          <w:szCs w:val="22"/>
        </w:rPr>
        <w:t xml:space="preserve"> attributed to O</w:t>
      </w:r>
      <w:r w:rsidR="001E7DCA" w:rsidRPr="000412A1">
        <w:rPr>
          <w:sz w:val="22"/>
          <w:szCs w:val="22"/>
        </w:rPr>
        <w:t>–</w:t>
      </w:r>
      <w:r w:rsidR="006A74BC" w:rsidRPr="000412A1">
        <w:rPr>
          <w:sz w:val="22"/>
          <w:szCs w:val="22"/>
        </w:rPr>
        <w:t>H groups</w:t>
      </w:r>
      <w:r w:rsidR="00CA3F71" w:rsidRPr="000412A1">
        <w:rPr>
          <w:sz w:val="22"/>
          <w:szCs w:val="22"/>
        </w:rPr>
        <w:t xml:space="preserve"> due to the</w:t>
      </w:r>
      <w:r w:rsidR="006A74BC" w:rsidRPr="000412A1">
        <w:rPr>
          <w:sz w:val="22"/>
          <w:szCs w:val="22"/>
        </w:rPr>
        <w:t xml:space="preserve"> stretching vibration of carboxylic, phenolic</w:t>
      </w:r>
      <w:r w:rsidR="00D14EEA">
        <w:rPr>
          <w:sz w:val="22"/>
          <w:szCs w:val="22"/>
        </w:rPr>
        <w:t>,</w:t>
      </w:r>
      <w:r w:rsidR="006A74BC" w:rsidRPr="000412A1">
        <w:rPr>
          <w:sz w:val="22"/>
          <w:szCs w:val="22"/>
        </w:rPr>
        <w:t xml:space="preserve"> or alcoholic groups. </w:t>
      </w:r>
      <w:r w:rsidR="00F267EA" w:rsidRPr="000412A1">
        <w:rPr>
          <w:sz w:val="22"/>
          <w:szCs w:val="22"/>
        </w:rPr>
        <w:t>T</w:t>
      </w:r>
      <w:r w:rsidR="006A74BC" w:rsidRPr="000412A1">
        <w:rPr>
          <w:sz w:val="22"/>
          <w:szCs w:val="22"/>
        </w:rPr>
        <w:t>he O</w:t>
      </w:r>
      <w:r w:rsidR="001E7DCA" w:rsidRPr="000412A1">
        <w:rPr>
          <w:sz w:val="22"/>
          <w:szCs w:val="22"/>
        </w:rPr>
        <w:t>–</w:t>
      </w:r>
      <w:r w:rsidR="006A74BC" w:rsidRPr="000412A1">
        <w:rPr>
          <w:sz w:val="22"/>
          <w:szCs w:val="22"/>
        </w:rPr>
        <w:t xml:space="preserve">H stretching vibration </w:t>
      </w:r>
      <w:r w:rsidR="00D14EEA">
        <w:rPr>
          <w:sz w:val="22"/>
          <w:szCs w:val="22"/>
        </w:rPr>
        <w:t>was</w:t>
      </w:r>
      <w:r w:rsidR="00D14EEA" w:rsidRPr="000412A1">
        <w:rPr>
          <w:sz w:val="22"/>
          <w:szCs w:val="22"/>
        </w:rPr>
        <w:t xml:space="preserve"> </w:t>
      </w:r>
      <w:r w:rsidR="006A74BC" w:rsidRPr="000412A1">
        <w:rPr>
          <w:sz w:val="22"/>
          <w:szCs w:val="22"/>
        </w:rPr>
        <w:t xml:space="preserve">due to intramolecular hydrogen bonds </w:t>
      </w:r>
      <w:r w:rsidR="00C02204" w:rsidRPr="000412A1">
        <w:rPr>
          <w:sz w:val="22"/>
          <w:szCs w:val="22"/>
        </w:rPr>
        <w:t xml:space="preserve">in </w:t>
      </w:r>
      <w:r w:rsidR="006A74BC" w:rsidRPr="000412A1">
        <w:rPr>
          <w:sz w:val="22"/>
          <w:szCs w:val="22"/>
        </w:rPr>
        <w:t>cellulose</w:t>
      </w:r>
      <w:r w:rsidR="00CA3F71" w:rsidRPr="000412A1">
        <w:rPr>
          <w:sz w:val="22"/>
          <w:szCs w:val="22"/>
        </w:rPr>
        <w:t>.</w:t>
      </w:r>
      <w:r w:rsidR="006A74BC" w:rsidRPr="000412A1">
        <w:rPr>
          <w:sz w:val="22"/>
          <w:szCs w:val="22"/>
        </w:rPr>
        <w:t xml:space="preserve"> </w:t>
      </w:r>
      <w:r w:rsidR="00C02204" w:rsidRPr="000412A1">
        <w:rPr>
          <w:sz w:val="22"/>
          <w:szCs w:val="22"/>
        </w:rPr>
        <w:t>The N–H vibration of amine and aromatic amine from proteins and peptides in this region</w:t>
      </w:r>
      <w:r w:rsidR="00C02204" w:rsidRPr="000412A1" w:rsidDel="00C02204">
        <w:rPr>
          <w:sz w:val="22"/>
          <w:szCs w:val="22"/>
        </w:rPr>
        <w:t xml:space="preserve"> </w:t>
      </w:r>
      <w:r w:rsidR="00C02204" w:rsidRPr="000412A1">
        <w:rPr>
          <w:sz w:val="22"/>
          <w:szCs w:val="22"/>
        </w:rPr>
        <w:t>is also</w:t>
      </w:r>
      <w:r w:rsidR="006A74BC" w:rsidRPr="000412A1">
        <w:rPr>
          <w:sz w:val="22"/>
          <w:szCs w:val="22"/>
        </w:rPr>
        <w:t xml:space="preserve"> characteristic</w:t>
      </w:r>
      <w:r w:rsidRPr="000412A1">
        <w:rPr>
          <w:sz w:val="22"/>
          <w:szCs w:val="22"/>
        </w:rPr>
        <w:t xml:space="preserve"> </w:t>
      </w:r>
      <w:r w:rsidR="006A74BC" w:rsidRPr="000412A1">
        <w:rPr>
          <w:sz w:val="22"/>
          <w:szCs w:val="22"/>
        </w:rPr>
        <w:fldChar w:fldCharType="begin" w:fldLock="1"/>
      </w:r>
      <w:r w:rsidR="00A07857" w:rsidRPr="000412A1">
        <w:rPr>
          <w:sz w:val="22"/>
          <w:szCs w:val="22"/>
        </w:rPr>
        <w:instrText>ADDIN CSL_CITATION { "citationItems" : [ { "id" : "ITEM-1", "itemData" : { "DOI" : "10.1007/s11696-018-0514-7", "ISSN" : "13369075", "abstract" : "\u00a9 2018, The Author(s). The ability to measure and control the composition of activated sludge is an important issue, aiming at evaluating the effectiveness of changes occurring in the sludge, what determines its usefulness to treat wastewater. In this research, diffuse reflectance infrared Fourier transform (FTIR\u2013DRIFT) technique was used, which relies on measuring the reflectance of the powdered substance\u2019s surface layer and capturing spectra in range of infrared wave. First, spectra correlation table of the substances mostly occurring in wastewater was developed to assess the main components of the tested samples of activated sludge. The simplest compounds containing functional groups characteristic for particular chemical classes were chosen: peptides (peptone and albumin), fats (glycerin and fatty acids), carbohydrates (glucose and sucrose), nitrogen compounds (NaNO3 and NH4SO4), sulfur compounds (Na2SO4 and Na2S2O3), silicate, etc. The spectra of those substances were captured and characteristic absorption bands for respective bonds in the function groups were assigned. Second, samples of activated sludge from lab-scale membrane bioreactors (MBRs), which purifies petroleum wastewater, were taken. Samples were properly prepared (lyophilization and homogenization) and their spectra were captured. During spectra analysis, previously developed correlation table was used. In obtained spectra of activated sludge, absorption bonds characteristic for amides, peptides, carbohydrates, fats, and aliphatic was identified. The spectra profile of the sludge sample from MBR feed with petroleum wastewater was slightly different from the control MBR sample\u2019s spectra. Intensity of bands in the area characteristic for aliphatic compounds and phenols was clearly higher. This study proves the usefulness of FT-IR technique to observe changes in the chemical composition of activated sludge.", "author" : [ { "dropping-particle" : "", "family" : "Kowalski", "given" : "Micha\u0142", "non-dropping-particle" : "", "parse-names" : false, "suffix" : "" }, { "dropping-particle" : "", "family" : "Kowalska", "given" : "Katarzyna", "non-dropping-particle" : "", "parse-names" : false, "suffix" : "" }, { "dropping-particle" : "", "family" : "Wiszniowski", "given" : "Jaros\u0142aw", "non-dropping-particle" : "", "parse-names" : false, "suffix" : "" }, { "dropping-particle" : "", "family" : "Turek-Szytow", "given" : "Jolanta", "non-dropping-particle" : "", "parse-names" : false, "suffix" : "" } ], "container-title" : "Chemical Papers", "id" : "ITEM-1", "issued" : { "date-parts" : [ [ "2018" ] ] }, "title" : "Qualitative analysis of activated sludge using FT-IR technique", "type" : "article-journal" }, "uris" : [ "http://www.mendeley.com/documents/?uuid=d73d6d5d-a3c0-3610-a0c9-8347c893fdad", "http://www.mendeley.com/documents/?uuid=f5354ff7-d8d5-4642-baad-dab451bf8578", "http://www.mendeley.com/documents/?uuid=593422cf-f3ff-4ba4-824b-bdc409e60899" ] }, { "id" : "ITEM-2", "itemData" : { "DOI" : "10.1016/j.jenvman.2017.02.058", "ISSN" : "10958630", "abstract" : "Success and acceptability of the bio energy conversion technology to a large extent depend upon management of the inevitable by-products generated during the conversion process. By-products can be considered favourable as organic fertilizer as they retain nutrients with varying composition depending upon input biomass. However, characteristics of these heterogeneous resources with respect to feedstock and processing conditions have to be assessed to state on their agricultural and environmental benefits. Therefore, 3 types of anaerobic digestion by-products (digestate) from surplus biomass viz. cow dung, Ipomoea carnea:cow dung (60:40 dry weight basis) and rice straw:green gram stover:cow dung (30:30:40 dry weight basis) and one gasification by-product (biochar) from rice husk are considered to understand the fertilizer prospects. Considering 3 potential application options, digestate from each feedstock option was further processed as separated solid, separated liquid and ash from solid digestates. Thus, a total of 10 by-products were investigated for understanding their prospects as fertilizer using Fourier Transform Infrared Spectroscopy (FTIR), X-ray diffraction (XRD), Scanning Electron Microscopy (SEM) and Energy Dispersive X ray Spectroscopy (EDX) and phyto-toxicity test to have a broad insight in terms of their organic, mineral, elemental composition, morphological feature and potential phyto-toxicity. In general, irrespective of origin of feedstock, solid digestate, ash digestate and char showed similarity in terms of composition of functional groups with some degree of variation in relative content as reflected by FTIR analysis. Dominance of organic functional groups in separated solid digestates compared to liquid fraction indicated the former as favourable organic amendments. Quartz was the prevalent mineral phase in all separated solid, ash digestate and rice husk char. Digestates in ash phase represent more concentrated plant nutrient source with higher content of K, Ca, P, Na and Mg than their respective solid phase. Application of ash digestates and char is likely to improve adsorptive capacity of soil for water and nutrient due to presence of relatively uniformly distributed porous particles. Liquid fraction of Ipomoea digestates exhibited inhibitory effect on seed germination of greengram (Vigna radiate) with significant reduction of germination index. Inhibitory effects of by-products were found to correlate negatively with their elect\u2026", "author" : [ { "dropping-particle" : "", "family" : "Kataki", "given" : "Sampriti", "non-dropping-particle" : "", "parse-names" : false, "suffix" : "" }, { "dropping-particle" : "", "family" : "Hazarika", "given" : "Samarendra", "non-dropping-particle" : "", "parse-names" : false, "suffix" : "" }, { "dropping-particle" : "", "family" : "Baruah", "given" : "D. C.", "non-dropping-particle" : "", "parse-names" : false, "suffix" : "" } ], "container-title" : "Journal of Environmental Management", "id" : "ITEM-2", "issued" : { "date-parts" : [ [ "2017" ] ] }, "page" : "201-216", "publisher" : "Elsevier Ltd", "title" : "Investigation on by-products of bioenergy systems (anaerobic digestion and gasification) as potential crop nutrient using FTIR, XRD, SEM analysis and phyto-toxicity test", "type" : "article-journal", "volume" : "196" }, "uris" : [ "http://www.mendeley.com/documents/?uuid=847338c4-4189-43ea-9f1e-8681e05c8b88", "http://www.mendeley.com/documents/?uuid=06ebbcb2-9796-4cb0-a9fd-6c088a084f0b", "http://www.mendeley.com/documents/?uuid=60e54d37-263f-4d2b-9f6d-ead31eaadc74" ] }, { "id" : "ITEM-3", "itemData" : { "DOI" : "10.4236/jep.2011.21009", "ISSN" : "2152-2197", "abstract" : "Anaerobic digestion of biomasses originates different products, the most abundant of which are methane and carbon dioxide. During this process, a 60-70% organic matter reduction occurs and the final product, the digestate, is characterized by high biological stability and high contents of recalcitrant organic molecules and nutrients. In the present work digestates obtained by different mixture of biomasses in a full-scale co-digestion plant operating in Italy were characterized as whole samples without any pre-treatment or extraction by means of Fourier transform infrared spec-troscopy and fluorescence spectroscopy in the synchronous-scan mode and results were compared to those obtained on the single fresh substrates. Biomasses considered were: beef cattle slurry, maize or sorghum silage, agro-industrial residues, olive residues and olive mill wastewater. These substrates exhibited typical spectra related to their different chemical composition. Results obtained on digestates provided evidence of distinctive characteristic of the final product as a function of the different composition of the biomasses loaded into the digestion plant. We concluded that FTIR and fluorescence spectra of digestates produced in a real co-digestion plant \"inherit\" the main spectroscopic features of the organic wastes from which they are produced. Spectroscopic techniques used in this work succeeded in qualitatively characterizing and differentiating digestates obtained from biomasses of different chemical composition.", "author" : [ { "dropping-particle" : "", "family" : "Provenzano", "given" : "Maria Rosaria", "non-dropping-particle" : "", "parse-names" : false, "suffix" : "" }, { "dropping-particle" : "", "family" : "Iannuzzi", "given" : "Giuseppina", "non-dropping-particle" : "", "parse-names" : false, "suffix" : "" }, { "dropping-particle" : "", "family" : "Fabbri", "given" : "Claudio", "non-dropping-particle" : "", "parse-names" : false, "suffix" : "" }, { "dropping-particle" : "", "family" : "Senesi", "given" : "Nicola", "non-dropping-particle" : "", "parse-names" : false, "suffix" : "" } ], "container-title" : "Journal of Environmental Protection", "id" : "ITEM-3", "issue" : "01", "issued" : { "date-parts" : [ [ "2011" ] ] }, "page" : "83-89", "title" : "Qualitative Characterization and Differentiation of Digestates from Different Biowastes Using FTIR and Fluorescence Spectroscopies", "type" : "article-journal", "volume" : "02" }, "uris" : [ "http://www.mendeley.com/documents/?uuid=78919787-1cc7-48af-b627-bec9df3b99c4", "http://www.mendeley.com/documents/?uuid=45ee1d12-c0be-4616-b168-87ea8c000012", "http://www.mendeley.com/documents/?uuid=1bead261-fb8a-462b-82fd-654a19c7da71" ] } ], "mendeley" : { "formattedCitation" : "(Kataki et al., 2017; Kowalski et al., 2018; Provenzano et al., 2011)", "plainTextFormattedCitation" : "(Kataki et al., 2017; Kowalski et al., 2018; Provenzano et al., 2011)", "previouslyFormattedCitation" : "(Kataki et al., 2017; Kowalski et al., 2018; Provenzano et al., 2011)" }, "properties" : {  }, "schema" : "https://github.com/citation-style-language/schema/raw/master/csl-citation.json" }</w:instrText>
      </w:r>
      <w:r w:rsidR="006A74BC" w:rsidRPr="000412A1">
        <w:rPr>
          <w:sz w:val="22"/>
          <w:szCs w:val="22"/>
        </w:rPr>
        <w:fldChar w:fldCharType="separate"/>
      </w:r>
      <w:r w:rsidR="006A74BC" w:rsidRPr="000412A1">
        <w:rPr>
          <w:noProof/>
          <w:sz w:val="22"/>
          <w:szCs w:val="22"/>
        </w:rPr>
        <w:t>(Kataki et al., 2017; Kowalski et al., 2018; Provenzano et al., 2011)</w:t>
      </w:r>
      <w:r w:rsidR="006A74BC" w:rsidRPr="000412A1">
        <w:rPr>
          <w:sz w:val="22"/>
          <w:szCs w:val="22"/>
        </w:rPr>
        <w:fldChar w:fldCharType="end"/>
      </w:r>
      <w:r w:rsidRPr="000412A1">
        <w:rPr>
          <w:sz w:val="22"/>
          <w:szCs w:val="22"/>
        </w:rPr>
        <w:t>.</w:t>
      </w:r>
      <w:r w:rsidR="006A74BC" w:rsidRPr="000412A1">
        <w:rPr>
          <w:sz w:val="22"/>
          <w:szCs w:val="22"/>
        </w:rPr>
        <w:t xml:space="preserve"> Visible bands at 2925 and 2851 cm</w:t>
      </w:r>
      <w:r w:rsidR="001E7DCA" w:rsidRPr="000412A1">
        <w:rPr>
          <w:sz w:val="22"/>
          <w:szCs w:val="22"/>
          <w:vertAlign w:val="superscript"/>
        </w:rPr>
        <w:t>–</w:t>
      </w:r>
      <w:r w:rsidR="006A74BC" w:rsidRPr="000412A1">
        <w:rPr>
          <w:sz w:val="22"/>
          <w:szCs w:val="22"/>
          <w:vertAlign w:val="superscript"/>
        </w:rPr>
        <w:t>1</w:t>
      </w:r>
      <w:r w:rsidR="006A74BC" w:rsidRPr="000412A1">
        <w:rPr>
          <w:sz w:val="22"/>
          <w:szCs w:val="22"/>
        </w:rPr>
        <w:t xml:space="preserve"> </w:t>
      </w:r>
      <w:r w:rsidRPr="000412A1">
        <w:rPr>
          <w:sz w:val="22"/>
          <w:szCs w:val="22"/>
        </w:rPr>
        <w:t>were</w:t>
      </w:r>
      <w:r w:rsidR="006A74BC" w:rsidRPr="000412A1">
        <w:rPr>
          <w:sz w:val="22"/>
          <w:szCs w:val="22"/>
        </w:rPr>
        <w:t xml:space="preserve"> attributed to asymmetrical –C</w:t>
      </w:r>
      <w:r w:rsidR="001E7DCA" w:rsidRPr="000412A1">
        <w:rPr>
          <w:sz w:val="22"/>
          <w:szCs w:val="22"/>
        </w:rPr>
        <w:t>–</w:t>
      </w:r>
      <w:r w:rsidR="006A74BC" w:rsidRPr="000412A1">
        <w:rPr>
          <w:sz w:val="22"/>
          <w:szCs w:val="22"/>
        </w:rPr>
        <w:t xml:space="preserve">H stretching vibration of aliphatic bonds in fats and lipids </w:t>
      </w:r>
      <w:r w:rsidR="006A74BC" w:rsidRPr="000412A1">
        <w:rPr>
          <w:sz w:val="22"/>
          <w:szCs w:val="22"/>
        </w:rPr>
        <w:fldChar w:fldCharType="begin" w:fldLock="1"/>
      </w:r>
      <w:r w:rsidR="00A07857" w:rsidRPr="000412A1">
        <w:rPr>
          <w:sz w:val="22"/>
          <w:szCs w:val="22"/>
        </w:rPr>
        <w:instrText>ADDIN CSL_CITATION { "citationItems" : [ { "id" : "ITEM-1", "itemData" : { "DOI" : "10.1016/j.ibiod.2013.09.024", "abstract" : "Keywords: Co-composting sewage sludge-lignocelullosic waste C/N and NH \u00fe 4 =NO \u00c0 3 ratios Lipids Fourier transform infrared spectroscopy (FTIR) Humification Phytotoxicity a b s t r a c t The co-composting of activated sludge and lignocellulosic waste (palm tree waste) was monitored to study the evolution of two mixtures, referred to as A (2/3 palm waste \u00fe 1/3 sludge) and B (1/2 palm waste \u00fe 1/2 sludge) for 6 mo. The biotransformation during the co-composting process was evaluated by physicochemical and spectroscopy analyses. The final composts exhibited a higher degree of decomposition than the controls as shown by a decrease of C/N and NH \u00fe 4 =NO \u00c0 3 ratios, and a 43% decrease in total lipid content. The decrease of aliphatic absorbance bands at 2964, 2922, and 2850 cm-1 and the increase of structure aromatic absorbance bands at 1514, 1426, and 1386 cm-1 reflect the progress of the humification process, which judging by the increase in the humification index, is about 60%. This efficiency of co-composting in reducing phytotoxicity was confirmed by the germination index, which reached over 90%, and by metallic trace element concentration.", "author" : [ { "dropping-particle" : "El", "family" : "Fels", "given" : "Loubna", "non-dropping-particle" : "", "parse-names" : false, "suffix" : "" }, { "dropping-particle" : "", "family" : "Zamama", "given" : "Mohamed", "non-dropping-particle" : "", "parse-names" : false, "suffix" : "" }, { "dropping-particle" : "El", "family" : "Asli", "given" : "Abdelghani", "non-dropping-particle" : "", "parse-names" : false, "suffix" : "" }, { "dropping-particle" : "", "family" : "Hafidi", "given" : "Mohamed", "non-dropping-particle" : "", "parse-names" : false, "suffix" : "" } ], "id" : "ITEM-1", "issued" : { "date-parts" : [ [ "2013" ] ] }, "title" : "Author's personal copy Assessment of biotransformation of organic matter during co-composting of sewage sludge-lignocelullosic waste by chemical, FTIR analyses, and phytotoxicity tests", "type" : "article-journal" }, "uris" : [ "http://www.mendeley.com/documents/?uuid=af995b88-d913-38d9-b81d-c62ffe2876c5", "http://www.mendeley.com/documents/?uuid=4fe42358-5109-4dae-9462-92cee1f91d9b", "http://www.mendeley.com/documents/?uuid=524483a3-5b01-4c3f-a6f9-dfa00395003f" ] } ], "mendeley" : { "formattedCitation" : "(Fels et al., 2013)", "manualFormatting" : "(Fels et al., 2013; ", "plainTextFormattedCitation" : "(Fels et al., 2013)", "previouslyFormattedCitation" : "(Fels et al., 2013)" }, "properties" : {  }, "schema" : "https://github.com/citation-style-language/schema/raw/master/csl-citation.json" }</w:instrText>
      </w:r>
      <w:r w:rsidR="006A74BC" w:rsidRPr="000412A1">
        <w:rPr>
          <w:sz w:val="22"/>
          <w:szCs w:val="22"/>
        </w:rPr>
        <w:fldChar w:fldCharType="separate"/>
      </w:r>
      <w:r w:rsidR="006A74BC" w:rsidRPr="000412A1">
        <w:rPr>
          <w:noProof/>
          <w:sz w:val="22"/>
          <w:szCs w:val="22"/>
        </w:rPr>
        <w:t xml:space="preserve">(Fels et al., 2013; </w:t>
      </w:r>
      <w:r w:rsidR="006A74BC" w:rsidRPr="000412A1">
        <w:rPr>
          <w:sz w:val="22"/>
          <w:szCs w:val="22"/>
        </w:rPr>
        <w:fldChar w:fldCharType="end"/>
      </w:r>
      <w:r w:rsidR="006A74BC" w:rsidRPr="000412A1">
        <w:rPr>
          <w:sz w:val="22"/>
          <w:szCs w:val="22"/>
        </w:rPr>
        <w:fldChar w:fldCharType="begin" w:fldLock="1"/>
      </w:r>
      <w:r w:rsidR="00A07857" w:rsidRPr="000412A1">
        <w:rPr>
          <w:sz w:val="22"/>
          <w:szCs w:val="22"/>
        </w:rPr>
        <w:instrText>ADDIN CSL_CITATION { "citationItems" : [ { "id" : "ITEM-1", "itemData" : { "DOI" : "10.1007/s10532-009-9322-7", "ISSN" : "09239820", "abstract" : "In this paper, Fourier Transform infrared spectroscopy (FTIR) along with thermogravimetric analysis together with mass spectrometry (TG-MS analysis) were employed to study the organic matter transformation attained under anaerobic digestion of slaughterhouse waste and to establish the stability of the digestates obtained when compared with fresh wastes. Digestate samples studied were obtained from successful digestion and failed systems treating slaughterhouse waste and the organic fraction of municipal solid wastes. The FTIR spectra and TG profiles from well stabilized products (from successful digestion systems) showed an increase in the aromaticity degree and the reduction of volatile content and aliphatic structures as stabilization proceeded. On the other hand, the FTIR spectra of non-stable reactors showed a high aliphaticity degree and fat content. When comparing differential thermogravimetry (DTG) profiles of the feed and digestate samples obtained from all successful anaerobic systems, a reduction in the intensity of the low-temperature range (\u2248300\u00b0C) peak was observed, while the weight loss experienced at high-temperature (450-550\u00b0C) was variable for the different systems. Compared to the original waste, the intensity of the weight loss peak in the high-temperature range decreased in the reactors with higher hydraulic retention time (HRT) whereas its intensity increased and the peak was displaced to higher temperatures for the digesters with lower HRT. \u00a9 2009 Springer Science+Business Media B.V.", "author" : [ { "dropping-particle" : "", "family" : "Cuetos", "given" : "Mar\u00eda Jos\u00e9", "non-dropping-particle" : "", "parse-names" : false, "suffix" : "" }, { "dropping-particle" : "", "family" : "G\u00f3mez", "given" : "Xiomar", "non-dropping-particle" : "", "parse-names" : false, "suffix" : "" }, { "dropping-particle" : "", "family" : "Otero", "given" : "Marta", "non-dropping-particle" : "", "parse-names" : false, "suffix" : "" }, { "dropping-particle" : "", "family" : "Mor\u00e1n", "given" : "Antonio", "non-dropping-particle" : "", "parse-names" : false, "suffix" : "" } ], "container-title" : "Biodegradation", "id" : "ITEM-1", "issue" : "4", "issued" : { "date-parts" : [ [ "2010" ] ] }, "page" : "543-556", "title" : "Anaerobic digestion of solid slaughterhouse waste: Study of biological stabilization by Fourier Transform infrared spectroscopy and thermogravimetry combined with mass spectrometry", "type" : "article-journal", "volume" : "21" }, "uris" : [ "http://www.mendeley.com/documents/?uuid=1ef1566f-3008-45f0-9e90-719ddb7746b1", "http://www.mendeley.com/documents/?uuid=c38d2348-8b2f-4b58-8524-b7c6b7cacc93", "http://www.mendeley.com/documents/?uuid=87806b5b-938c-4940-8126-f3953c1b9f7b" ] } ], "mendeley" : { "formattedCitation" : "(Cuetos et al., 2010)", "manualFormatting" : "Cuetos et al., 2010)", "plainTextFormattedCitation" : "(Cuetos et al., 2010)", "previouslyFormattedCitation" : "(Cuetos et al., 2010)" }, "properties" : {  }, "schema" : "https://github.com/citation-style-language/schema/raw/master/csl-citation.json" }</w:instrText>
      </w:r>
      <w:r w:rsidR="006A74BC" w:rsidRPr="000412A1">
        <w:rPr>
          <w:sz w:val="22"/>
          <w:szCs w:val="22"/>
        </w:rPr>
        <w:fldChar w:fldCharType="separate"/>
      </w:r>
      <w:r w:rsidR="006A74BC" w:rsidRPr="000412A1">
        <w:rPr>
          <w:noProof/>
          <w:sz w:val="22"/>
          <w:szCs w:val="22"/>
        </w:rPr>
        <w:t>Cuetos et al., 2010)</w:t>
      </w:r>
      <w:r w:rsidR="006A74BC" w:rsidRPr="000412A1">
        <w:rPr>
          <w:sz w:val="22"/>
          <w:szCs w:val="22"/>
        </w:rPr>
        <w:fldChar w:fldCharType="end"/>
      </w:r>
      <w:r w:rsidR="006A74BC" w:rsidRPr="000412A1">
        <w:rPr>
          <w:sz w:val="22"/>
          <w:szCs w:val="22"/>
        </w:rPr>
        <w:t xml:space="preserve">. </w:t>
      </w:r>
      <w:r w:rsidR="00D14EEA">
        <w:rPr>
          <w:sz w:val="22"/>
          <w:szCs w:val="22"/>
        </w:rPr>
        <w:t>The d</w:t>
      </w:r>
      <w:r w:rsidR="006A74BC" w:rsidRPr="000412A1">
        <w:rPr>
          <w:sz w:val="22"/>
          <w:szCs w:val="22"/>
        </w:rPr>
        <w:t>oublet band at 2345 cm</w:t>
      </w:r>
      <w:r w:rsidR="001E7DCA" w:rsidRPr="000412A1">
        <w:rPr>
          <w:sz w:val="22"/>
          <w:szCs w:val="22"/>
          <w:vertAlign w:val="superscript"/>
        </w:rPr>
        <w:t>–</w:t>
      </w:r>
      <w:r w:rsidR="006A74BC" w:rsidRPr="000412A1">
        <w:rPr>
          <w:sz w:val="22"/>
          <w:szCs w:val="22"/>
          <w:vertAlign w:val="superscript"/>
        </w:rPr>
        <w:t>1</w:t>
      </w:r>
      <w:r w:rsidR="006A74BC" w:rsidRPr="000412A1">
        <w:rPr>
          <w:sz w:val="22"/>
          <w:szCs w:val="22"/>
        </w:rPr>
        <w:t xml:space="preserve"> </w:t>
      </w:r>
      <w:r w:rsidRPr="000412A1">
        <w:rPr>
          <w:sz w:val="22"/>
          <w:szCs w:val="22"/>
        </w:rPr>
        <w:t>was</w:t>
      </w:r>
      <w:r w:rsidR="006A74BC" w:rsidRPr="000412A1">
        <w:rPr>
          <w:sz w:val="22"/>
          <w:szCs w:val="22"/>
        </w:rPr>
        <w:t xml:space="preserve"> ascribe</w:t>
      </w:r>
      <w:r w:rsidR="00CA3F71" w:rsidRPr="000412A1">
        <w:rPr>
          <w:sz w:val="22"/>
          <w:szCs w:val="22"/>
        </w:rPr>
        <w:t>d</w:t>
      </w:r>
      <w:r w:rsidR="006A74BC" w:rsidRPr="000412A1">
        <w:rPr>
          <w:sz w:val="22"/>
          <w:szCs w:val="22"/>
        </w:rPr>
        <w:t xml:space="preserve"> to </w:t>
      </w:r>
      <w:r w:rsidR="00F267EA" w:rsidRPr="000412A1">
        <w:rPr>
          <w:sz w:val="22"/>
          <w:szCs w:val="22"/>
        </w:rPr>
        <w:t xml:space="preserve">the </w:t>
      </w:r>
      <w:r w:rsidR="006A74BC" w:rsidRPr="000412A1">
        <w:rPr>
          <w:sz w:val="22"/>
          <w:szCs w:val="22"/>
        </w:rPr>
        <w:t>unavoidable presence of CO</w:t>
      </w:r>
      <w:r w:rsidR="006A74BC" w:rsidRPr="000412A1">
        <w:rPr>
          <w:sz w:val="22"/>
          <w:szCs w:val="22"/>
          <w:vertAlign w:val="subscript"/>
        </w:rPr>
        <w:t>2</w:t>
      </w:r>
      <w:r w:rsidR="006A74BC" w:rsidRPr="000412A1">
        <w:rPr>
          <w:sz w:val="22"/>
          <w:szCs w:val="22"/>
        </w:rPr>
        <w:t xml:space="preserve"> in </w:t>
      </w:r>
      <w:r w:rsidR="00F267EA" w:rsidRPr="000412A1">
        <w:rPr>
          <w:sz w:val="22"/>
          <w:szCs w:val="22"/>
        </w:rPr>
        <w:t xml:space="preserve">the </w:t>
      </w:r>
      <w:r w:rsidR="006A74BC" w:rsidRPr="000412A1">
        <w:rPr>
          <w:sz w:val="22"/>
          <w:szCs w:val="22"/>
        </w:rPr>
        <w:t xml:space="preserve">FTIR chamber </w:t>
      </w:r>
      <w:r w:rsidR="006A74BC" w:rsidRPr="000412A1">
        <w:rPr>
          <w:sz w:val="22"/>
          <w:szCs w:val="22"/>
        </w:rPr>
        <w:fldChar w:fldCharType="begin" w:fldLock="1"/>
      </w:r>
      <w:r w:rsidR="00A07857" w:rsidRPr="000412A1">
        <w:rPr>
          <w:sz w:val="22"/>
          <w:szCs w:val="22"/>
        </w:rPr>
        <w:instrText>ADDIN CSL_CITATION { "citationItems" : [ { "id" : "ITEM-1", "itemData" : { "DOI" : "10.1080/10934529509376298", "ISSN" : "1077-1204", "author" : [ { "dropping-particle" : "", "family" : "Hong", "given" : "S. G.", "non-dropping-particle" : "", "parse-names" : false, "suffix" : "" }, { "dropping-particle" : "", "family" : "Young", "given" : "J. D.", "non-dropping-particle" : "", "parse-names" : false, "suffix" : "" }, { "dropping-particle" : "", "family" : "Chen", "given" : "G. W.", "non-dropping-particle" : "", "parse-names" : false, "suffix" : "" }, { "dropping-particle" : "", "family" : "Chang", "given" : "I. L.", "non-dropping-particle" : "", "parse-names" : false, "suffix" : "" }, { "dropping-particle" : "", "family" : "Hung", "given" : "W. T.", "non-dropping-particle" : "", "parse-names" : false, "suffix" : "" }, { "dropping-particle" : "", "family" : "Lee", "given" : "D. J.", "non-dropping-particle" : "", "parse-names" : false, "suffix" : "" } ], "container-title" : "Journal of Environmental Science and Health . Part A: Environmental Science and Engineering and Toxicology", "id" : "ITEM-1", "issue" : "8", "issued" : { "date-parts" : [ [ "1995", "9" ] ] }, "page" : "1717-1726", "title" : "Freeze/thaw treatment on waste activated sludge: A FTIR spectroscopic study", "type" : "article-journal", "volume" : "30" }, "uris" : [ "http://www.mendeley.com/documents/?uuid=8b780836-5fa7-36c6-9c0d-ceaa0653355f", "http://www.mendeley.com/documents/?uuid=a825d73e-c243-44e9-9a72-22dbe09183b0", "http://www.mendeley.com/documents/?uuid=7906ddfa-9b26-4647-afd5-b506e7efca0d" ] } ], "mendeley" : { "formattedCitation" : "(Hong et al., 1995)", "plainTextFormattedCitation" : "(Hong et al., 1995)", "previouslyFormattedCitation" : "(Hong et al., 1995)" }, "properties" : {  }, "schema" : "https://github.com/citation-style-language/schema/raw/master/csl-citation.json" }</w:instrText>
      </w:r>
      <w:r w:rsidR="006A74BC" w:rsidRPr="000412A1">
        <w:rPr>
          <w:sz w:val="22"/>
          <w:szCs w:val="22"/>
        </w:rPr>
        <w:fldChar w:fldCharType="separate"/>
      </w:r>
      <w:r w:rsidR="006A74BC" w:rsidRPr="000412A1">
        <w:rPr>
          <w:noProof/>
          <w:sz w:val="22"/>
          <w:szCs w:val="22"/>
        </w:rPr>
        <w:t>(Hong et al., 1995)</w:t>
      </w:r>
      <w:r w:rsidR="006A74BC" w:rsidRPr="000412A1">
        <w:rPr>
          <w:sz w:val="22"/>
          <w:szCs w:val="22"/>
        </w:rPr>
        <w:fldChar w:fldCharType="end"/>
      </w:r>
      <w:r w:rsidR="006A74BC" w:rsidRPr="000412A1">
        <w:rPr>
          <w:sz w:val="22"/>
          <w:szCs w:val="22"/>
        </w:rPr>
        <w:t xml:space="preserve">. </w:t>
      </w:r>
      <w:r w:rsidRPr="000412A1">
        <w:rPr>
          <w:sz w:val="22"/>
          <w:szCs w:val="22"/>
        </w:rPr>
        <w:t>V</w:t>
      </w:r>
      <w:r w:rsidR="006A74BC" w:rsidRPr="000412A1">
        <w:rPr>
          <w:sz w:val="22"/>
          <w:szCs w:val="22"/>
        </w:rPr>
        <w:t xml:space="preserve">isible bands </w:t>
      </w:r>
      <w:r w:rsidRPr="000412A1">
        <w:rPr>
          <w:sz w:val="22"/>
          <w:szCs w:val="22"/>
        </w:rPr>
        <w:t xml:space="preserve">were </w:t>
      </w:r>
      <w:r w:rsidR="006A74BC" w:rsidRPr="000412A1">
        <w:rPr>
          <w:sz w:val="22"/>
          <w:szCs w:val="22"/>
        </w:rPr>
        <w:t>observed at 1633 and 1648 cm</w:t>
      </w:r>
      <w:r w:rsidR="001E7DCA" w:rsidRPr="000412A1">
        <w:rPr>
          <w:sz w:val="22"/>
          <w:szCs w:val="22"/>
          <w:vertAlign w:val="superscript"/>
        </w:rPr>
        <w:t>–</w:t>
      </w:r>
      <w:r w:rsidR="006A74BC" w:rsidRPr="000412A1">
        <w:rPr>
          <w:sz w:val="22"/>
          <w:szCs w:val="22"/>
          <w:vertAlign w:val="superscript"/>
        </w:rPr>
        <w:t>1</w:t>
      </w:r>
      <w:r w:rsidR="006A74BC" w:rsidRPr="000412A1">
        <w:rPr>
          <w:sz w:val="22"/>
          <w:szCs w:val="22"/>
        </w:rPr>
        <w:t xml:space="preserve"> </w:t>
      </w:r>
      <w:r w:rsidR="00D14EEA">
        <w:rPr>
          <w:sz w:val="22"/>
          <w:szCs w:val="22"/>
        </w:rPr>
        <w:t>that</w:t>
      </w:r>
      <w:r w:rsidR="00D14EEA" w:rsidRPr="000412A1">
        <w:rPr>
          <w:sz w:val="22"/>
          <w:szCs w:val="22"/>
        </w:rPr>
        <w:t xml:space="preserve"> </w:t>
      </w:r>
      <w:r w:rsidR="00A8429F" w:rsidRPr="000412A1">
        <w:rPr>
          <w:sz w:val="22"/>
          <w:szCs w:val="22"/>
        </w:rPr>
        <w:t>we</w:t>
      </w:r>
      <w:r w:rsidR="00F267EA" w:rsidRPr="000412A1">
        <w:rPr>
          <w:sz w:val="22"/>
          <w:szCs w:val="22"/>
        </w:rPr>
        <w:t xml:space="preserve">re </w:t>
      </w:r>
      <w:r w:rsidR="006A74BC" w:rsidRPr="000412A1">
        <w:rPr>
          <w:sz w:val="22"/>
          <w:szCs w:val="22"/>
        </w:rPr>
        <w:t>related to aromatic C=C bonds, C=O in primary amide, ketone</w:t>
      </w:r>
      <w:r w:rsidR="00D14EEA">
        <w:rPr>
          <w:sz w:val="22"/>
          <w:szCs w:val="22"/>
        </w:rPr>
        <w:t>,</w:t>
      </w:r>
      <w:r w:rsidR="006A74BC" w:rsidRPr="000412A1">
        <w:rPr>
          <w:sz w:val="22"/>
          <w:szCs w:val="22"/>
        </w:rPr>
        <w:t xml:space="preserve"> and quinone groups</w:t>
      </w:r>
      <w:r w:rsidR="00140B05" w:rsidRPr="000412A1">
        <w:rPr>
          <w:sz w:val="22"/>
          <w:szCs w:val="22"/>
        </w:rPr>
        <w:t xml:space="preserve">, with the region </w:t>
      </w:r>
      <w:r w:rsidR="00D14EEA">
        <w:rPr>
          <w:sz w:val="22"/>
          <w:szCs w:val="22"/>
        </w:rPr>
        <w:t>at</w:t>
      </w:r>
      <w:r w:rsidR="00D14EEA" w:rsidRPr="000412A1">
        <w:rPr>
          <w:sz w:val="22"/>
          <w:szCs w:val="22"/>
        </w:rPr>
        <w:t xml:space="preserve"> </w:t>
      </w:r>
      <w:r w:rsidR="00140B05" w:rsidRPr="000412A1">
        <w:rPr>
          <w:sz w:val="22"/>
          <w:szCs w:val="22"/>
        </w:rPr>
        <w:t>1750</w:t>
      </w:r>
      <w:r w:rsidR="00D14EEA">
        <w:rPr>
          <w:sz w:val="22"/>
          <w:szCs w:val="22"/>
        </w:rPr>
        <w:t>–</w:t>
      </w:r>
      <w:r w:rsidR="00140B05" w:rsidRPr="000412A1">
        <w:rPr>
          <w:sz w:val="22"/>
          <w:szCs w:val="22"/>
        </w:rPr>
        <w:t>1500 cm</w:t>
      </w:r>
      <w:r w:rsidR="001E7DCA" w:rsidRPr="000412A1">
        <w:rPr>
          <w:sz w:val="22"/>
          <w:szCs w:val="22"/>
          <w:vertAlign w:val="superscript"/>
        </w:rPr>
        <w:t>–</w:t>
      </w:r>
      <w:r w:rsidR="00140B05" w:rsidRPr="000412A1">
        <w:rPr>
          <w:sz w:val="22"/>
          <w:szCs w:val="22"/>
          <w:vertAlign w:val="superscript"/>
        </w:rPr>
        <w:t>1</w:t>
      </w:r>
      <w:r w:rsidR="00140B05" w:rsidRPr="000412A1">
        <w:rPr>
          <w:sz w:val="22"/>
          <w:szCs w:val="22"/>
        </w:rPr>
        <w:t xml:space="preserve"> recognised as the protein band</w:t>
      </w:r>
      <w:r w:rsidR="006A74BC" w:rsidRPr="000412A1">
        <w:rPr>
          <w:sz w:val="22"/>
          <w:szCs w:val="22"/>
        </w:rPr>
        <w:t xml:space="preserve"> </w:t>
      </w:r>
      <w:r w:rsidR="006A74BC" w:rsidRPr="000412A1">
        <w:rPr>
          <w:sz w:val="22"/>
          <w:szCs w:val="22"/>
        </w:rPr>
        <w:fldChar w:fldCharType="begin" w:fldLock="1"/>
      </w:r>
      <w:r w:rsidR="00A07857" w:rsidRPr="000412A1">
        <w:rPr>
          <w:sz w:val="22"/>
          <w:szCs w:val="22"/>
        </w:rPr>
        <w:instrText>ADDIN CSL_CITATION { "citationItems" : [ { "id" : "ITEM-1", "itemData" : { "DOI" : "10.3390/w7116483", "ISSN" : "2073-4441", "abstract" : "The aim of this work was to study the effect of ultrasonic pretreatment on sludge digestion, particle size distribution (PSD), and dewaterability of digestates (measured by capillary suction time (CST) and specific resistance to filtration (SRF)). Sludge was pretreated with ultrasound (24 kHz) at an energy dosage of 4300 kJ/kg TS. Digestibility of sludge was increased by ultrasound pretreatment resulting in a higher specific methane production (SMP). The digestate of pretreated waste activated sludge (WAS) obtained under batch conditions presented a better dewatering performance. Digestion under  semi-continuous conditions was evaluated using sewage sludge (mixture of primary sludge and WAS). In this case, digestates presented a much higher mean particle size for both cases evaluated (pretreated and non-pretreated) than that obtained under batch conditions. A wide PSD was a characteristic of these digestate samples. Flow dynamics inside the reactor resulted in the presence of high-diameter flocs, thus significantly affecting the mean particle size and specific surface area (SSA) values.", "author" : [ { "dropping-particle" : "", "family" : "Mart\u00ednez", "given" : "Elia", "non-dropping-particle" : "", "parse-names" : false, "suffix" : "" }, { "dropping-particle" : "", "family" : "Rosas", "given" : "Jose", "non-dropping-particle" : "", "parse-names" : false, "suffix" : "" }, { "dropping-particle" : "", "family" : "Mor\u00e1n", "given" : "Antonio", "non-dropping-particle" : "", "parse-names" : false, "suffix" : "" }, { "dropping-particle" : "", "family" : "G\u00f3mez", "given" : "Xiomar", "non-dropping-particle" : "", "parse-names" : false, "suffix" : "" } ], "container-title" : "Water", "id" : "ITEM-1", "issue" : "11", "issued" : { "date-parts" : [ [ "2015", "11", "13" ] ] }, "language" : "en", "page" : "6483-6495", "publisher" : "Multidisciplinary Digital Publishing Institute", "title" : "Effect of Ultrasound Pretreatment on Sludge Digestion and Dewatering Characteristics: Application of Particle Size Analysis", "type" : "article-journal", "volume" : "7" }, "uris" : [ "http://www.mendeley.com/documents/?uuid=cfb3cdd3-9094-4d81-b6be-82b5d18dec08", "http://www.mendeley.com/documents/?uuid=e1e41e03-2089-4ad6-a5d7-ea6edfce3f30" ] } ], "mendeley" : { "formattedCitation" : "(Mart\u00ednez et al., 2015)", "manualFormatting" : "(Mart\u00ednez et al., 2015; ", "plainTextFormattedCitation" : "(Mart\u00ednez et al., 2015)", "previouslyFormattedCitation" : "(Mart\u00ednez et al., 2015)" }, "properties" : {  }, "schema" : "https://github.com/citation-style-language/schema/raw/master/csl-citation.json" }</w:instrText>
      </w:r>
      <w:r w:rsidR="006A74BC" w:rsidRPr="000412A1">
        <w:rPr>
          <w:sz w:val="22"/>
          <w:szCs w:val="22"/>
        </w:rPr>
        <w:fldChar w:fldCharType="separate"/>
      </w:r>
      <w:r w:rsidR="006A74BC" w:rsidRPr="000412A1">
        <w:rPr>
          <w:noProof/>
          <w:sz w:val="22"/>
          <w:szCs w:val="22"/>
        </w:rPr>
        <w:t xml:space="preserve">(Martínez et al., 2015; </w:t>
      </w:r>
      <w:r w:rsidR="006A74BC" w:rsidRPr="000412A1">
        <w:rPr>
          <w:sz w:val="22"/>
          <w:szCs w:val="22"/>
        </w:rPr>
        <w:fldChar w:fldCharType="end"/>
      </w:r>
      <w:r w:rsidR="006A74BC" w:rsidRPr="000412A1">
        <w:rPr>
          <w:sz w:val="22"/>
          <w:szCs w:val="22"/>
        </w:rPr>
        <w:fldChar w:fldCharType="begin" w:fldLock="1"/>
      </w:r>
      <w:r w:rsidR="00A07857" w:rsidRPr="000412A1">
        <w:rPr>
          <w:sz w:val="22"/>
          <w:szCs w:val="22"/>
        </w:rPr>
        <w:instrText>ADDIN CSL_CITATION { "citationItems" : [ { "id" : "ITEM-1", "itemData" : { "DOI" : "10.4236/jep.2011.21009", "ISSN" : "2152-2197", "abstract" : "Anaerobic digestion of biomasses originates different products, the most abundant of which are methane and carbon dioxide. During this process, a 60-70% organic matter reduction occurs and the final product, the digestate, is characterized by high biological stability and high contents of recalcitrant organic molecules and nutrients. In the present work digestates obtained by different mixture of biomasses in a full-scale co-digestion plant operating in Italy were characterized as whole samples without any pre-treatment or extraction by means of Fourier transform infrared spec-troscopy and fluorescence spectroscopy in the synchronous-scan mode and results were compared to those obtained on the single fresh substrates. Biomasses considered were: beef cattle slurry, maize or sorghum silage, agro-industrial residues, olive residues and olive mill wastewater. These substrates exhibited typical spectra related to their different chemical composition. Results obtained on digestates provided evidence of distinctive characteristic of the final product as a function of the different composition of the biomasses loaded into the digestion plant. We concluded that FTIR and fluorescence spectra of digestates produced in a real co-digestion plant \"inherit\" the main spectroscopic features of the organic wastes from which they are produced. Spectroscopic techniques used in this work succeeded in qualitatively characterizing and differentiating digestates obtained from biomasses of different chemical composition.", "author" : [ { "dropping-particle" : "", "family" : "Provenzano", "given" : "Maria Rosaria", "non-dropping-particle" : "", "parse-names" : false, "suffix" : "" }, { "dropping-particle" : "", "family" : "Iannuzzi", "given" : "Giuseppina", "non-dropping-particle" : "", "parse-names" : false, "suffix" : "" }, { "dropping-particle" : "", "family" : "Fabbri", "given" : "Claudio", "non-dropping-particle" : "", "parse-names" : false, "suffix" : "" }, { "dropping-particle" : "", "family" : "Senesi", "given" : "Nicola", "non-dropping-particle" : "", "parse-names" : false, "suffix" : "" } ], "container-title" : "Journal of Environmental Protection", "id" : "ITEM-1", "issue" : "01", "issued" : { "date-parts" : [ [ "2011" ] ] }, "page" : "83-89", "title" : "Qualitative Characterization and Differentiation of Digestates from Different Biowastes Using FTIR and Fluorescence Spectroscopies", "type" : "article-journal", "volume" : "02" }, "uris" : [ "http://www.mendeley.com/documents/?uuid=78919787-1cc7-48af-b627-bec9df3b99c4", "http://www.mendeley.com/documents/?uuid=45ee1d12-c0be-4616-b168-87ea8c000012", "http://www.mendeley.com/documents/?uuid=1bead261-fb8a-462b-82fd-654a19c7da71" ] } ], "mendeley" : { "formattedCitation" : "(Provenzano et al., 2011)", "manualFormatting" : "Provenzano et al., 2011; ", "plainTextFormattedCitation" : "(Provenzano et al., 2011)", "previouslyFormattedCitation" : "(Provenzano et al., 2011)" }, "properties" : {  }, "schema" : "https://github.com/citation-style-language/schema/raw/master/csl-citation.json" }</w:instrText>
      </w:r>
      <w:r w:rsidR="006A74BC" w:rsidRPr="000412A1">
        <w:rPr>
          <w:sz w:val="22"/>
          <w:szCs w:val="22"/>
        </w:rPr>
        <w:fldChar w:fldCharType="separate"/>
      </w:r>
      <w:r w:rsidR="006A74BC" w:rsidRPr="000412A1">
        <w:rPr>
          <w:noProof/>
          <w:sz w:val="22"/>
          <w:szCs w:val="22"/>
        </w:rPr>
        <w:t xml:space="preserve">Provenzano et al., 2011; </w:t>
      </w:r>
      <w:r w:rsidR="006A74BC" w:rsidRPr="000412A1">
        <w:rPr>
          <w:sz w:val="22"/>
          <w:szCs w:val="22"/>
        </w:rPr>
        <w:fldChar w:fldCharType="end"/>
      </w:r>
      <w:r w:rsidR="006A74BC" w:rsidRPr="000412A1">
        <w:rPr>
          <w:sz w:val="22"/>
          <w:szCs w:val="22"/>
        </w:rPr>
        <w:fldChar w:fldCharType="begin" w:fldLock="1"/>
      </w:r>
      <w:r w:rsidR="00A07857" w:rsidRPr="000412A1">
        <w:rPr>
          <w:sz w:val="22"/>
          <w:szCs w:val="22"/>
        </w:rPr>
        <w:instrText>ADDIN CSL_CITATION { "citationItems" : [ { "id" : "ITEM-1", "itemData" : { "DOI" : "10.1016/j.jenvman.2017.02.058", "ISSN" : "10958630", "abstract" : "Success and acceptability of the bio energy conversion technology to a large extent depend upon management of the inevitable by-products generated during the conversion process. By-products can be considered favourable as organic fertilizer as they retain nutrients with varying composition depending upon input biomass. However, characteristics of these heterogeneous resources with respect to feedstock and processing conditions have to be assessed to state on their agricultural and environmental benefits. Therefore, 3 types of anaerobic digestion by-products (digestate) from surplus biomass viz. cow dung, Ipomoea carnea:cow dung (60:40 dry weight basis) and rice straw:green gram stover:cow dung (30:30:40 dry weight basis) and one gasification by-product (biochar) from rice husk are considered to understand the fertilizer prospects. Considering 3 potential application options, digestate from each feedstock option was further processed as separated solid, separated liquid and ash from solid digestates. Thus, a total of 10 by-products were investigated for understanding their prospects as fertilizer using Fourier Transform Infrared Spectroscopy (FTIR), X-ray diffraction (XRD), Scanning Electron Microscopy (SEM) and Energy Dispersive X ray Spectroscopy (EDX) and phyto-toxicity test to have a broad insight in terms of their organic, mineral, elemental composition, morphological feature and potential phyto-toxicity. In general, irrespective of origin of feedstock, solid digestate, ash digestate and char showed similarity in terms of composition of functional groups with some degree of variation in relative content as reflected by FTIR analysis. Dominance of organic functional groups in separated solid digestates compared to liquid fraction indicated the former as favourable organic amendments. Quartz was the prevalent mineral phase in all separated solid, ash digestate and rice husk char. Digestates in ash phase represent more concentrated plant nutrient source with higher content of K, Ca, P, Na and Mg than their respective solid phase. Application of ash digestates and char is likely to improve adsorptive capacity of soil for water and nutrient due to presence of relatively uniformly distributed porous particles. Liquid fraction of Ipomoea digestates exhibited inhibitory effect on seed germination of greengram (Vigna radiate) with significant reduction of germination index. Inhibitory effects of by-products were found to correlate negatively with their elect\u2026", "author" : [ { "dropping-particle" : "", "family" : "Kataki", "given" : "Sampriti", "non-dropping-particle" : "", "parse-names" : false, "suffix" : "" }, { "dropping-particle" : "", "family" : "Hazarika", "given" : "Samarendra", "non-dropping-particle" : "", "parse-names" : false, "suffix" : "" }, { "dropping-particle" : "", "family" : "Baruah", "given" : "D. C.", "non-dropping-particle" : "", "parse-names" : false, "suffix" : "" } ], "container-title" : "Journal of Environmental Management", "id" : "ITEM-1", "issued" : { "date-parts" : [ [ "2017" ] ] }, "page" : "201-216", "publisher" : "Elsevier Ltd", "title" : "Investigation on by-products of bioenergy systems (anaerobic digestion and gasification) as potential crop nutrient using FTIR, XRD, SEM analysis and phyto-toxicity test", "type" : "article-journal", "volume" : "196" }, "uris" : [ "http://www.mendeley.com/documents/?uuid=60e54d37-263f-4d2b-9f6d-ead31eaadc74", "http://www.mendeley.com/documents/?uuid=06ebbcb2-9796-4cb0-a9fd-6c088a084f0b", "http://www.mendeley.com/documents/?uuid=847338c4-4189-43ea-9f1e-8681e05c8b88" ] } ], "mendeley" : { "formattedCitation" : "(Kataki et al., 2017)", "manualFormatting" : "Kataki et al., 2017)", "plainTextFormattedCitation" : "(Kataki et al., 2017)", "previouslyFormattedCitation" : "(Kataki et al., 2017)" }, "properties" : {  }, "schema" : "https://github.com/citation-style-language/schema/raw/master/csl-citation.json" }</w:instrText>
      </w:r>
      <w:r w:rsidR="006A74BC" w:rsidRPr="000412A1">
        <w:rPr>
          <w:sz w:val="22"/>
          <w:szCs w:val="22"/>
        </w:rPr>
        <w:fldChar w:fldCharType="separate"/>
      </w:r>
      <w:r w:rsidR="006A74BC" w:rsidRPr="000412A1">
        <w:rPr>
          <w:noProof/>
          <w:sz w:val="22"/>
          <w:szCs w:val="22"/>
        </w:rPr>
        <w:t>Kataki et al., 2017)</w:t>
      </w:r>
      <w:r w:rsidR="006A74BC" w:rsidRPr="000412A1">
        <w:rPr>
          <w:sz w:val="22"/>
          <w:szCs w:val="22"/>
        </w:rPr>
        <w:fldChar w:fldCharType="end"/>
      </w:r>
      <w:r w:rsidR="006A74BC" w:rsidRPr="000412A1">
        <w:rPr>
          <w:sz w:val="22"/>
          <w:szCs w:val="22"/>
        </w:rPr>
        <w:t>.</w:t>
      </w:r>
    </w:p>
    <w:p w14:paraId="25EA2078" w14:textId="51AFDFA1" w:rsidR="006A74BC" w:rsidRPr="000412A1" w:rsidRDefault="0059046E" w:rsidP="00CD6E06">
      <w:pPr>
        <w:spacing w:after="160" w:line="480" w:lineRule="auto"/>
        <w:rPr>
          <w:sz w:val="22"/>
          <w:szCs w:val="22"/>
        </w:rPr>
      </w:pPr>
      <w:r w:rsidRPr="000412A1">
        <w:rPr>
          <w:sz w:val="22"/>
          <w:szCs w:val="22"/>
        </w:rPr>
        <w:t xml:space="preserve">The </w:t>
      </w:r>
      <w:r w:rsidR="00C4020C" w:rsidRPr="000412A1">
        <w:rPr>
          <w:sz w:val="22"/>
          <w:szCs w:val="22"/>
        </w:rPr>
        <w:t>high-intens</w:t>
      </w:r>
      <w:r w:rsidR="00B064A7">
        <w:rPr>
          <w:sz w:val="22"/>
          <w:szCs w:val="22"/>
        </w:rPr>
        <w:t>ity</w:t>
      </w:r>
      <w:r w:rsidR="00C4020C" w:rsidRPr="000412A1">
        <w:rPr>
          <w:sz w:val="22"/>
          <w:szCs w:val="22"/>
        </w:rPr>
        <w:t xml:space="preserve"> </w:t>
      </w:r>
      <w:r w:rsidRPr="000412A1">
        <w:rPr>
          <w:sz w:val="22"/>
          <w:szCs w:val="22"/>
        </w:rPr>
        <w:t>band</w:t>
      </w:r>
      <w:r w:rsidR="00C4020C" w:rsidRPr="000412A1">
        <w:rPr>
          <w:sz w:val="22"/>
          <w:szCs w:val="22"/>
        </w:rPr>
        <w:t>s</w:t>
      </w:r>
      <w:r w:rsidRPr="000412A1">
        <w:rPr>
          <w:sz w:val="22"/>
          <w:szCs w:val="22"/>
        </w:rPr>
        <w:t xml:space="preserve"> at </w:t>
      </w:r>
      <w:commentRangeStart w:id="11"/>
      <w:r w:rsidR="00CD6E06" w:rsidRPr="000412A1">
        <w:rPr>
          <w:sz w:val="22"/>
          <w:szCs w:val="22"/>
        </w:rPr>
        <w:t xml:space="preserve">1416 </w:t>
      </w:r>
      <w:r w:rsidRPr="000412A1">
        <w:rPr>
          <w:sz w:val="22"/>
          <w:szCs w:val="22"/>
        </w:rPr>
        <w:t>and 1435 cm</w:t>
      </w:r>
      <w:r w:rsidR="001E7DCA" w:rsidRPr="000412A1">
        <w:rPr>
          <w:sz w:val="22"/>
          <w:szCs w:val="22"/>
          <w:vertAlign w:val="superscript"/>
        </w:rPr>
        <w:t>–</w:t>
      </w:r>
      <w:r w:rsidRPr="000412A1">
        <w:rPr>
          <w:sz w:val="22"/>
          <w:szCs w:val="22"/>
          <w:vertAlign w:val="superscript"/>
        </w:rPr>
        <w:t>1</w:t>
      </w:r>
      <w:r w:rsidR="00C4020C" w:rsidRPr="000412A1">
        <w:rPr>
          <w:sz w:val="22"/>
          <w:szCs w:val="22"/>
        </w:rPr>
        <w:t xml:space="preserve"> </w:t>
      </w:r>
      <w:r w:rsidR="001E7DCA" w:rsidRPr="000412A1">
        <w:rPr>
          <w:sz w:val="22"/>
          <w:szCs w:val="22"/>
        </w:rPr>
        <w:t xml:space="preserve">in Figure 6 </w:t>
      </w:r>
      <w:commentRangeEnd w:id="11"/>
      <w:r w:rsidR="001E7DCA" w:rsidRPr="000412A1">
        <w:rPr>
          <w:rStyle w:val="Refdecomentario"/>
        </w:rPr>
        <w:commentReference w:id="11"/>
      </w:r>
      <w:r w:rsidR="00CE7978" w:rsidRPr="000412A1">
        <w:rPr>
          <w:sz w:val="22"/>
          <w:szCs w:val="22"/>
        </w:rPr>
        <w:t>were</w:t>
      </w:r>
      <w:r w:rsidR="00C4020C" w:rsidRPr="000412A1">
        <w:rPr>
          <w:sz w:val="22"/>
          <w:szCs w:val="22"/>
        </w:rPr>
        <w:t xml:space="preserve"> </w:t>
      </w:r>
      <w:r w:rsidRPr="000412A1">
        <w:rPr>
          <w:sz w:val="22"/>
          <w:szCs w:val="22"/>
        </w:rPr>
        <w:t>attributable to C</w:t>
      </w:r>
      <w:r w:rsidR="001E7DCA" w:rsidRPr="000412A1">
        <w:rPr>
          <w:sz w:val="22"/>
          <w:szCs w:val="22"/>
        </w:rPr>
        <w:t>–</w:t>
      </w:r>
      <w:r w:rsidRPr="000412A1">
        <w:rPr>
          <w:sz w:val="22"/>
          <w:szCs w:val="22"/>
        </w:rPr>
        <w:t xml:space="preserve">H stretching in aliphatic </w:t>
      </w:r>
      <w:r w:rsidR="00C4020C" w:rsidRPr="000412A1">
        <w:rPr>
          <w:sz w:val="22"/>
          <w:szCs w:val="22"/>
        </w:rPr>
        <w:t>structure</w:t>
      </w:r>
      <w:r w:rsidR="001E7DCA" w:rsidRPr="000412A1">
        <w:rPr>
          <w:sz w:val="22"/>
          <w:szCs w:val="22"/>
        </w:rPr>
        <w:t>,</w:t>
      </w:r>
      <w:r w:rsidR="00C4020C" w:rsidRPr="000412A1">
        <w:rPr>
          <w:sz w:val="22"/>
          <w:szCs w:val="22"/>
        </w:rPr>
        <w:t xml:space="preserve"> and the intense band at 1029 and 1027 cm</w:t>
      </w:r>
      <w:r w:rsidR="001E7DCA" w:rsidRPr="000412A1">
        <w:rPr>
          <w:sz w:val="22"/>
          <w:szCs w:val="22"/>
          <w:vertAlign w:val="superscript"/>
        </w:rPr>
        <w:t>–</w:t>
      </w:r>
      <w:r w:rsidR="00C4020C" w:rsidRPr="000412A1">
        <w:rPr>
          <w:sz w:val="22"/>
          <w:szCs w:val="22"/>
          <w:vertAlign w:val="superscript"/>
        </w:rPr>
        <w:t>1</w:t>
      </w:r>
      <w:r w:rsidR="00C4020C" w:rsidRPr="000412A1">
        <w:rPr>
          <w:sz w:val="22"/>
          <w:szCs w:val="22"/>
        </w:rPr>
        <w:t xml:space="preserve"> </w:t>
      </w:r>
      <w:r w:rsidR="00D14EEA">
        <w:rPr>
          <w:sz w:val="22"/>
          <w:szCs w:val="22"/>
        </w:rPr>
        <w:t xml:space="preserve">can </w:t>
      </w:r>
      <w:r w:rsidR="00F267EA" w:rsidRPr="000412A1">
        <w:rPr>
          <w:sz w:val="22"/>
          <w:szCs w:val="22"/>
        </w:rPr>
        <w:t>possibly</w:t>
      </w:r>
      <w:r w:rsidR="004E0795">
        <w:rPr>
          <w:sz w:val="22"/>
          <w:szCs w:val="22"/>
        </w:rPr>
        <w:t xml:space="preserve"> </w:t>
      </w:r>
      <w:r w:rsidR="00D14EEA">
        <w:rPr>
          <w:sz w:val="22"/>
          <w:szCs w:val="22"/>
        </w:rPr>
        <w:t xml:space="preserve">be </w:t>
      </w:r>
      <w:r w:rsidR="00C4020C" w:rsidRPr="000412A1">
        <w:rPr>
          <w:sz w:val="22"/>
          <w:szCs w:val="22"/>
        </w:rPr>
        <w:t>addressed to C=O stretching in polysaccharides</w:t>
      </w:r>
      <w:r w:rsidR="006A74BC" w:rsidRPr="000412A1">
        <w:rPr>
          <w:sz w:val="22"/>
          <w:szCs w:val="22"/>
        </w:rPr>
        <w:t xml:space="preserve"> </w:t>
      </w:r>
      <w:r w:rsidR="00C4020C" w:rsidRPr="000412A1">
        <w:rPr>
          <w:sz w:val="22"/>
          <w:szCs w:val="22"/>
        </w:rPr>
        <w:fldChar w:fldCharType="begin" w:fldLock="1"/>
      </w:r>
      <w:r w:rsidR="00A07857" w:rsidRPr="000412A1">
        <w:rPr>
          <w:sz w:val="22"/>
          <w:szCs w:val="22"/>
        </w:rPr>
        <w:instrText>ADDIN CSL_CITATION { "citationItems" : [ { "id" : "ITEM-1", "itemData" : { "abstract" : "FT-IR spectroscopy is used to reveal some qualitative aspects regarding the organic compounds in a plant Calotropis gigantea Linn collected from an industrial area. Several indicator bands that are pertained to functional groups represent chemical components or metabolic products. The application of infrared (IR) spectroscopy in plant analysis is still limited compared to its applications in other areas. In this article FT-IR spectrum is able to predict the main chemical constituents in plant materials and also to compare the quantitative differences among the similar samples.", "author" : [ { "dropping-particle" : "", "family" : "Ramamurthy #", "given" : "N", "non-dropping-particle" : "", "parse-names" : false, "suffix" : "" }, { "dropping-particle" : "", "family" : "Kannan", "given" : "S", "non-dropping-particle" : "", "parse-names" : false, "suffix" : "" } ], "id" : "ITEM-1", "issue" : "4", "issued" : { "date-parts" : [ [ "2007" ] ] }, "number-of-pages" : "269-276", "title" : "FOURIER TRANSFORM INFRARED SPECTROSCOPIC ANALYSIS OF A PLANT (CALOTROPIS GIGANTEA Linn) FROM AN INDUSTRIAL VILLAGE, CUDDALORE Dt, TAMILNADU, INDIA", "type" : "report", "volume" : "17" }, "uris" : [ "http://www.mendeley.com/documents/?uuid=d3b766b9-aa48-377a-8fb1-910bec524e39", "http://www.mendeley.com/documents/?uuid=68662e1d-8fe8-4182-bbbd-fd14d1ce7e30", "http://www.mendeley.com/documents/?uuid=83d163d7-c72f-4b96-be53-5c4082ae8eea" ] } ], "mendeley" : { "formattedCitation" : "(Ramamurthy # and Kannan, 2007)", "manualFormatting" : "(Ramamurthy and Kannan, 2007;", "plainTextFormattedCitation" : "(Ramamurthy # and Kannan, 2007)", "previouslyFormattedCitation" : "(Ramamurthy # and Kannan, 2007)" }, "properties" : {  }, "schema" : "https://github.com/citation-style-language/schema/raw/master/csl-citation.json" }</w:instrText>
      </w:r>
      <w:r w:rsidR="00C4020C" w:rsidRPr="000412A1">
        <w:rPr>
          <w:sz w:val="22"/>
          <w:szCs w:val="22"/>
        </w:rPr>
        <w:fldChar w:fldCharType="separate"/>
      </w:r>
      <w:r w:rsidR="00FD4989" w:rsidRPr="000412A1">
        <w:rPr>
          <w:noProof/>
          <w:sz w:val="22"/>
          <w:szCs w:val="22"/>
        </w:rPr>
        <w:t>(Ramamurthy and Kannan, 2007</w:t>
      </w:r>
      <w:r w:rsidR="006A74BC" w:rsidRPr="000412A1">
        <w:rPr>
          <w:noProof/>
          <w:sz w:val="22"/>
          <w:szCs w:val="22"/>
        </w:rPr>
        <w:t>;</w:t>
      </w:r>
      <w:r w:rsidR="00C4020C" w:rsidRPr="000412A1">
        <w:rPr>
          <w:sz w:val="22"/>
          <w:szCs w:val="22"/>
        </w:rPr>
        <w:fldChar w:fldCharType="end"/>
      </w:r>
      <w:r w:rsidR="00C4020C" w:rsidRPr="000412A1">
        <w:rPr>
          <w:sz w:val="22"/>
          <w:szCs w:val="22"/>
        </w:rPr>
        <w:t xml:space="preserve"> </w:t>
      </w:r>
      <w:r w:rsidR="00CD6E06" w:rsidRPr="000412A1">
        <w:rPr>
          <w:sz w:val="22"/>
          <w:szCs w:val="22"/>
        </w:rPr>
        <w:fldChar w:fldCharType="begin" w:fldLock="1"/>
      </w:r>
      <w:r w:rsidR="00A07857" w:rsidRPr="000412A1">
        <w:rPr>
          <w:sz w:val="22"/>
          <w:szCs w:val="22"/>
        </w:rPr>
        <w:instrText>ADDIN CSL_CITATION { "citationItems" : [ { "id" : "ITEM-1", "itemData" : { "DOI" : "10.1016/j.fcr.2010.06.017", "ISSN" : "03784290", "abstract" : "Understanding belowground competition of plants requires a simple method for species identification of plant roots. This study investigates Fourier transform infrared (FTIR)-attenuated total reflexion (ATR) spectroscopy followed by cluster analysis for the discrimination of pea and oat roots. Pea and oat plants were grown under various conditions - in moist paper, soil-compost mixture, soil, in the greenhouse and field - to enhance the intra-species variability of their chemical composition. FTIR-ATR spectra of young-to-old roots from four independent experiments were recorded and represent, like a fingerprint, the chemical sample composition such as lipids, proteins, carbohydrates, etc. To group the spectra according to their spectral similarity in a dendrogram, cluster analysis was performed. The experimental approach discriminated pea and oat roots 100% successfully. The perfect discrimination of pea and oat roots, even from intercropped plants, strikingly demonstrates the potential of the method. \u00a9 2010 Elsevier B.V.", "author" : [ { "dropping-particle" : "", "family" : "Naumann", "given" : "Annette", "non-dropping-particle" : "", "parse-names" : false, "suffix" : "" }, { "dropping-particle" : "", "family" : "Heine", "given" : "Gregor", "non-dropping-particle" : "", "parse-names" : false, "suffix" : "" }, { "dropping-particle" : "", "family" : "Rauber", "given" : "Rolf", "non-dropping-particle" : "", "parse-names" : false, "suffix" : "" } ], "container-title" : "Field Crops Research", "id" : "ITEM-1", "issued" : { "date-parts" : [ [ "2010" ] ] }, "title" : "Efficient discrimination of oat and pea roots by cluster analysis of Fourier transform infrared (FTIR) spectra", "type" : "article-journal" }, "uris" : [ "http://www.mendeley.com/documents/?uuid=4c27d821-383f-3fa4-b910-da4b16b0e2a5", "http://www.mendeley.com/documents/?uuid=bad76741-48cc-4225-80c4-d06f092063a8", "http://www.mendeley.com/documents/?uuid=464928f2-de86-4614-9dd0-dabc936e9a3d" ] } ], "mendeley" : { "formattedCitation" : "(Naumann et al., 2010)", "manualFormatting" : "Naumann et al., 2010)", "plainTextFormattedCitation" : "(Naumann et al., 2010)", "previouslyFormattedCitation" : "(Naumann et al., 2010)" }, "properties" : {  }, "schema" : "https://github.com/citation-style-language/schema/raw/master/csl-citation.json" }</w:instrText>
      </w:r>
      <w:r w:rsidR="00CD6E06" w:rsidRPr="000412A1">
        <w:rPr>
          <w:sz w:val="22"/>
          <w:szCs w:val="22"/>
        </w:rPr>
        <w:fldChar w:fldCharType="separate"/>
      </w:r>
      <w:r w:rsidR="00FD4989" w:rsidRPr="000412A1">
        <w:rPr>
          <w:noProof/>
          <w:sz w:val="22"/>
          <w:szCs w:val="22"/>
        </w:rPr>
        <w:t>Naumann et al., 2010)</w:t>
      </w:r>
      <w:r w:rsidR="00CD6E06" w:rsidRPr="000412A1">
        <w:rPr>
          <w:sz w:val="22"/>
          <w:szCs w:val="22"/>
        </w:rPr>
        <w:fldChar w:fldCharType="end"/>
      </w:r>
      <w:r w:rsidR="00CD6E06" w:rsidRPr="000412A1">
        <w:rPr>
          <w:sz w:val="22"/>
          <w:szCs w:val="22"/>
        </w:rPr>
        <w:t xml:space="preserve">. The band at </w:t>
      </w:r>
      <w:r w:rsidR="00DD7880" w:rsidRPr="000412A1">
        <w:rPr>
          <w:sz w:val="22"/>
          <w:szCs w:val="22"/>
        </w:rPr>
        <w:t>875</w:t>
      </w:r>
      <w:r w:rsidR="001E7DCA" w:rsidRPr="000412A1">
        <w:rPr>
          <w:sz w:val="22"/>
          <w:szCs w:val="22"/>
        </w:rPr>
        <w:t>–</w:t>
      </w:r>
      <w:r w:rsidR="00CD6E06" w:rsidRPr="000412A1">
        <w:rPr>
          <w:sz w:val="22"/>
          <w:szCs w:val="22"/>
        </w:rPr>
        <w:t>876</w:t>
      </w:r>
      <w:r w:rsidR="00214BEA" w:rsidRPr="000412A1">
        <w:rPr>
          <w:sz w:val="22"/>
          <w:szCs w:val="22"/>
        </w:rPr>
        <w:t xml:space="preserve"> </w:t>
      </w:r>
      <w:r w:rsidR="00CD6E06" w:rsidRPr="000412A1">
        <w:rPr>
          <w:sz w:val="22"/>
          <w:szCs w:val="22"/>
        </w:rPr>
        <w:t>cm</w:t>
      </w:r>
      <w:r w:rsidR="001E7DCA" w:rsidRPr="000412A1">
        <w:rPr>
          <w:sz w:val="22"/>
          <w:szCs w:val="22"/>
          <w:vertAlign w:val="superscript"/>
        </w:rPr>
        <w:t>–</w:t>
      </w:r>
      <w:r w:rsidR="00CD6E06" w:rsidRPr="000412A1">
        <w:rPr>
          <w:sz w:val="22"/>
          <w:szCs w:val="22"/>
          <w:vertAlign w:val="superscript"/>
        </w:rPr>
        <w:t>1</w:t>
      </w:r>
      <w:r w:rsidR="00CD6E06" w:rsidRPr="000412A1">
        <w:rPr>
          <w:sz w:val="22"/>
          <w:szCs w:val="22"/>
        </w:rPr>
        <w:t xml:space="preserve"> </w:t>
      </w:r>
      <w:r w:rsidR="00CE7978" w:rsidRPr="000412A1">
        <w:rPr>
          <w:sz w:val="22"/>
          <w:szCs w:val="22"/>
        </w:rPr>
        <w:t>was</w:t>
      </w:r>
      <w:r w:rsidR="00214BEA" w:rsidRPr="000412A1">
        <w:rPr>
          <w:sz w:val="22"/>
          <w:szCs w:val="22"/>
        </w:rPr>
        <w:t xml:space="preserve"> assigned </w:t>
      </w:r>
      <w:r w:rsidR="006A74BC" w:rsidRPr="000412A1">
        <w:rPr>
          <w:sz w:val="22"/>
          <w:szCs w:val="22"/>
        </w:rPr>
        <w:t xml:space="preserve">to </w:t>
      </w:r>
      <w:r w:rsidR="00DD7880" w:rsidRPr="000412A1">
        <w:rPr>
          <w:sz w:val="22"/>
          <w:szCs w:val="22"/>
        </w:rPr>
        <w:t>the</w:t>
      </w:r>
      <w:r w:rsidR="00CD6E06" w:rsidRPr="000412A1">
        <w:rPr>
          <w:sz w:val="22"/>
          <w:szCs w:val="22"/>
        </w:rPr>
        <w:t xml:space="preserve"> </w:t>
      </w:r>
      <w:r w:rsidR="006A74BC" w:rsidRPr="000412A1">
        <w:rPr>
          <w:sz w:val="22"/>
          <w:szCs w:val="22"/>
        </w:rPr>
        <w:t xml:space="preserve">presence of </w:t>
      </w:r>
      <w:r w:rsidR="00DD7880" w:rsidRPr="000412A1">
        <w:rPr>
          <w:sz w:val="22"/>
          <w:szCs w:val="22"/>
        </w:rPr>
        <w:t>inorganic carbonates</w:t>
      </w:r>
      <w:r w:rsidR="00F037B1" w:rsidRPr="000412A1">
        <w:rPr>
          <w:sz w:val="22"/>
          <w:szCs w:val="22"/>
        </w:rPr>
        <w:t>.</w:t>
      </w:r>
      <w:r w:rsidR="00DD7880" w:rsidRPr="000412A1">
        <w:rPr>
          <w:sz w:val="22"/>
          <w:szCs w:val="22"/>
        </w:rPr>
        <w:t xml:space="preserve"> </w:t>
      </w:r>
      <w:r w:rsidR="00F037B1" w:rsidRPr="000412A1">
        <w:rPr>
          <w:sz w:val="22"/>
          <w:szCs w:val="22"/>
        </w:rPr>
        <w:t>T</w:t>
      </w:r>
      <w:r w:rsidR="00DD7880" w:rsidRPr="000412A1">
        <w:rPr>
          <w:sz w:val="22"/>
          <w:szCs w:val="22"/>
        </w:rPr>
        <w:t xml:space="preserve">he region </w:t>
      </w:r>
      <w:r w:rsidR="00D14EEA">
        <w:rPr>
          <w:sz w:val="22"/>
          <w:szCs w:val="22"/>
        </w:rPr>
        <w:t>at</w:t>
      </w:r>
      <w:r w:rsidR="00D14EEA" w:rsidRPr="000412A1">
        <w:rPr>
          <w:sz w:val="22"/>
          <w:szCs w:val="22"/>
        </w:rPr>
        <w:t xml:space="preserve"> </w:t>
      </w:r>
      <w:r w:rsidR="00DD7880" w:rsidRPr="000412A1">
        <w:rPr>
          <w:sz w:val="22"/>
          <w:szCs w:val="22"/>
        </w:rPr>
        <w:t>600</w:t>
      </w:r>
      <w:r w:rsidR="001E7DCA" w:rsidRPr="000412A1">
        <w:rPr>
          <w:sz w:val="22"/>
          <w:szCs w:val="22"/>
        </w:rPr>
        <w:t>–</w:t>
      </w:r>
      <w:r w:rsidR="00DD7880" w:rsidRPr="000412A1">
        <w:rPr>
          <w:sz w:val="22"/>
          <w:szCs w:val="22"/>
        </w:rPr>
        <w:t>500 cm</w:t>
      </w:r>
      <w:r w:rsidR="001E7DCA" w:rsidRPr="000412A1">
        <w:rPr>
          <w:sz w:val="22"/>
          <w:szCs w:val="22"/>
          <w:vertAlign w:val="superscript"/>
        </w:rPr>
        <w:t>–</w:t>
      </w:r>
      <w:r w:rsidR="00DD7880" w:rsidRPr="000412A1">
        <w:rPr>
          <w:sz w:val="22"/>
          <w:szCs w:val="22"/>
          <w:vertAlign w:val="superscript"/>
        </w:rPr>
        <w:t>1</w:t>
      </w:r>
      <w:r w:rsidR="00DD7880" w:rsidRPr="000412A1">
        <w:rPr>
          <w:sz w:val="22"/>
          <w:szCs w:val="22"/>
        </w:rPr>
        <w:t xml:space="preserve"> is characteristic of </w:t>
      </w:r>
      <w:r w:rsidR="00D14EEA" w:rsidRPr="000412A1">
        <w:rPr>
          <w:sz w:val="22"/>
          <w:szCs w:val="22"/>
        </w:rPr>
        <w:t xml:space="preserve">phosphate </w:t>
      </w:r>
      <w:r w:rsidR="00DD7880" w:rsidRPr="000412A1">
        <w:rPr>
          <w:sz w:val="22"/>
          <w:szCs w:val="22"/>
        </w:rPr>
        <w:t xml:space="preserve">absorption </w:t>
      </w:r>
      <w:r w:rsidR="00DD7880" w:rsidRPr="000412A1">
        <w:rPr>
          <w:sz w:val="22"/>
          <w:szCs w:val="22"/>
        </w:rPr>
        <w:fldChar w:fldCharType="begin" w:fldLock="1"/>
      </w:r>
      <w:r w:rsidR="00A07857" w:rsidRPr="000412A1">
        <w:rPr>
          <w:sz w:val="22"/>
          <w:szCs w:val="22"/>
        </w:rPr>
        <w:instrText>ADDIN CSL_CITATION { "citationItems" : [ { "id" : "ITEM-1", "itemData" : { "DOI" : "10.1366/000370202760295412", "ISSN" : "00037028", "abstract" : "A series of experiments has shown that FT-IR (Fourier transform infrared) spectroscopy is a helpful tool for characterizing waste organic matter, its decomposition, and stabilization in rotting processes. A specific set of differently treated input materials, originating from various composting plants, was chosen to reflect a wide range of spectroscopic properties. The approach to FT-IR spectra interpretation is presented. Changes of relative absorbances of the band at 2925 cm-1 (methylene groups of aliphatics) reflect the progress and dynamics of composting processes. Different processes can be compared by the specific development of their 2925 cm-1 band. Nitrate was quantified by calibrating nitrate band heights with added amounts of KNO3. The concentrations and band heights (absorbances) were linearly correlated (R2 = 0.9968, SD = 0.001). Bands of inorganic components are useful to assess the decomposition process because they also indicate the development of organic matter. Different wastes can be distinguished by their fingerprint region (1500-900 cm-1). This region also reveals fresh and undecomposed materials. The presence or absence of specific bands provides information about the decomposition status of materials.", "author" : [ { "dropping-particle" : "", "family" : "Smidt", "given" : "E.", "non-dropping-particle" : "", "parse-names" : false, "suffix" : "" }, { "dropping-particle" : "", "family" : "Lechner", "given" : "P.", "non-dropping-particle" : "", "parse-names" : false, "suffix" : "" }, { "dropping-particle" : "", "family" : "Schwanninger", "given" : "M.", "non-dropping-particle" : "", "parse-names" : false, "suffix" : "" }, { "dropping-particle" : "", "family" : "Haberhauer", "given" : "G.", "non-dropping-particle" : "", "parse-names" : false, "suffix" : "" }, { "dropping-particle" : "", "family" : "Gerzabek", "given" : "M. H.", "non-dropping-particle" : "", "parse-names" : false, "suffix" : "" } ], "container-title" : "Applied Spectroscopy", "id" : "ITEM-1", "issued" : { "date-parts" : [ [ "2002" ] ] }, "title" : "Characterization of waste organic matter by FT-IR spectroscopy: Application in waste science", "type" : "article-journal" }, "uris" : [ "http://www.mendeley.com/documents/?uuid=36eb55a2-73b5-3b9a-b1e9-94a30df1d92e", "http://www.mendeley.com/documents/?uuid=e6948e9f-91e0-4b03-be7e-ab4e3a4d6c51", "http://www.mendeley.com/documents/?uuid=35c635a5-1e7a-47bd-b26d-037b00a277e1" ] } ], "mendeley" : { "formattedCitation" : "(Smidt et al., 2002)", "plainTextFormattedCitation" : "(Smidt et al., 2002)", "previouslyFormattedCitation" : "(Smidt et al., 2002)" }, "properties" : {  }, "schema" : "https://github.com/citation-style-language/schema/raw/master/csl-citation.json" }</w:instrText>
      </w:r>
      <w:r w:rsidR="00DD7880" w:rsidRPr="000412A1">
        <w:rPr>
          <w:sz w:val="22"/>
          <w:szCs w:val="22"/>
        </w:rPr>
        <w:fldChar w:fldCharType="separate"/>
      </w:r>
      <w:r w:rsidR="00FD4989" w:rsidRPr="000412A1">
        <w:rPr>
          <w:noProof/>
          <w:sz w:val="22"/>
          <w:szCs w:val="22"/>
        </w:rPr>
        <w:t>(Smidt et al., 2002)</w:t>
      </w:r>
      <w:r w:rsidR="00DD7880" w:rsidRPr="000412A1">
        <w:rPr>
          <w:sz w:val="22"/>
          <w:szCs w:val="22"/>
        </w:rPr>
        <w:fldChar w:fldCharType="end"/>
      </w:r>
      <w:r w:rsidR="00CD6E06" w:rsidRPr="000412A1">
        <w:rPr>
          <w:sz w:val="22"/>
          <w:szCs w:val="22"/>
        </w:rPr>
        <w:t>.</w:t>
      </w:r>
      <w:r w:rsidR="00DD7880" w:rsidRPr="000412A1">
        <w:rPr>
          <w:sz w:val="22"/>
          <w:szCs w:val="22"/>
        </w:rPr>
        <w:t xml:space="preserve"> </w:t>
      </w:r>
    </w:p>
    <w:p w14:paraId="213B3814" w14:textId="1B138C2C" w:rsidR="009F589B" w:rsidRPr="000412A1" w:rsidRDefault="00D14EEA" w:rsidP="00D21E9D">
      <w:pPr>
        <w:spacing w:after="160" w:line="480" w:lineRule="auto"/>
        <w:rPr>
          <w:sz w:val="22"/>
          <w:szCs w:val="22"/>
        </w:rPr>
      </w:pPr>
      <w:r>
        <w:rPr>
          <w:sz w:val="22"/>
          <w:szCs w:val="22"/>
        </w:rPr>
        <w:t>D</w:t>
      </w:r>
      <w:r w:rsidR="006A74BC" w:rsidRPr="000412A1">
        <w:rPr>
          <w:sz w:val="22"/>
          <w:szCs w:val="22"/>
        </w:rPr>
        <w:t>iffere</w:t>
      </w:r>
      <w:r w:rsidR="002C46E2" w:rsidRPr="000412A1">
        <w:rPr>
          <w:sz w:val="22"/>
          <w:szCs w:val="22"/>
        </w:rPr>
        <w:t>nces between the</w:t>
      </w:r>
      <w:r w:rsidRPr="00D14EEA">
        <w:rPr>
          <w:sz w:val="22"/>
          <w:szCs w:val="22"/>
        </w:rPr>
        <w:t xml:space="preserve"> </w:t>
      </w:r>
      <w:r w:rsidRPr="000412A1">
        <w:rPr>
          <w:sz w:val="22"/>
          <w:szCs w:val="22"/>
        </w:rPr>
        <w:t>obtained</w:t>
      </w:r>
      <w:r w:rsidR="002C46E2" w:rsidRPr="000412A1">
        <w:rPr>
          <w:sz w:val="22"/>
          <w:szCs w:val="22"/>
        </w:rPr>
        <w:t xml:space="preserve"> </w:t>
      </w:r>
      <w:r w:rsidR="006A74BC" w:rsidRPr="000412A1">
        <w:rPr>
          <w:sz w:val="22"/>
          <w:szCs w:val="22"/>
        </w:rPr>
        <w:t xml:space="preserve">spectra from the digestate and post-treated digestate samples </w:t>
      </w:r>
      <w:r w:rsidR="002C46E2" w:rsidRPr="000412A1">
        <w:rPr>
          <w:sz w:val="22"/>
          <w:szCs w:val="22"/>
        </w:rPr>
        <w:t>were</w:t>
      </w:r>
      <w:r w:rsidR="006A74BC" w:rsidRPr="000412A1">
        <w:rPr>
          <w:sz w:val="22"/>
          <w:szCs w:val="22"/>
        </w:rPr>
        <w:t xml:space="preserve"> associated with the lower intensity recorded for </w:t>
      </w:r>
      <w:r w:rsidR="002C46E2" w:rsidRPr="000412A1">
        <w:rPr>
          <w:sz w:val="22"/>
          <w:szCs w:val="22"/>
        </w:rPr>
        <w:t>the main bands</w:t>
      </w:r>
      <w:r w:rsidR="006A74BC" w:rsidRPr="000412A1">
        <w:rPr>
          <w:sz w:val="22"/>
          <w:szCs w:val="22"/>
        </w:rPr>
        <w:t xml:space="preserve"> </w:t>
      </w:r>
      <w:r w:rsidR="00175205" w:rsidRPr="000412A1">
        <w:rPr>
          <w:sz w:val="22"/>
          <w:szCs w:val="22"/>
        </w:rPr>
        <w:t xml:space="preserve">of </w:t>
      </w:r>
      <w:r>
        <w:rPr>
          <w:sz w:val="22"/>
          <w:szCs w:val="22"/>
        </w:rPr>
        <w:t xml:space="preserve">the </w:t>
      </w:r>
      <w:r w:rsidR="006A74BC" w:rsidRPr="000412A1">
        <w:rPr>
          <w:sz w:val="22"/>
          <w:szCs w:val="22"/>
        </w:rPr>
        <w:t>post-treated samples</w:t>
      </w:r>
      <w:r w:rsidR="00FF17F7" w:rsidRPr="000412A1">
        <w:rPr>
          <w:sz w:val="22"/>
          <w:szCs w:val="22"/>
        </w:rPr>
        <w:t>.</w:t>
      </w:r>
      <w:r w:rsidR="00D21E9D" w:rsidRPr="000412A1">
        <w:rPr>
          <w:sz w:val="22"/>
          <w:szCs w:val="22"/>
        </w:rPr>
        <w:t xml:space="preserve"> </w:t>
      </w:r>
      <w:r w:rsidR="00140B05" w:rsidRPr="000412A1">
        <w:rPr>
          <w:sz w:val="22"/>
          <w:szCs w:val="22"/>
        </w:rPr>
        <w:t xml:space="preserve">The peak at 1649 </w:t>
      </w:r>
      <w:r w:rsidR="00D21E9D" w:rsidRPr="000412A1">
        <w:rPr>
          <w:sz w:val="22"/>
          <w:szCs w:val="22"/>
        </w:rPr>
        <w:t>cm</w:t>
      </w:r>
      <w:r w:rsidR="001E7DCA" w:rsidRPr="000412A1">
        <w:rPr>
          <w:sz w:val="22"/>
          <w:szCs w:val="22"/>
          <w:vertAlign w:val="superscript"/>
        </w:rPr>
        <w:t>–</w:t>
      </w:r>
      <w:r w:rsidR="00D21E9D" w:rsidRPr="000412A1">
        <w:rPr>
          <w:sz w:val="22"/>
          <w:szCs w:val="22"/>
          <w:vertAlign w:val="superscript"/>
        </w:rPr>
        <w:t>1</w:t>
      </w:r>
      <w:r w:rsidR="00D21E9D" w:rsidRPr="000412A1">
        <w:rPr>
          <w:sz w:val="22"/>
          <w:szCs w:val="22"/>
        </w:rPr>
        <w:t xml:space="preserve"> (related to aromatic C=C bonds or C=O in primary amides)</w:t>
      </w:r>
      <w:r w:rsidR="00D31AA0" w:rsidRPr="000412A1">
        <w:rPr>
          <w:sz w:val="22"/>
          <w:szCs w:val="22"/>
        </w:rPr>
        <w:t xml:space="preserve"> ha</w:t>
      </w:r>
      <w:r>
        <w:rPr>
          <w:sz w:val="22"/>
          <w:szCs w:val="22"/>
        </w:rPr>
        <w:t>d</w:t>
      </w:r>
      <w:r w:rsidR="00D31AA0" w:rsidRPr="000412A1">
        <w:rPr>
          <w:sz w:val="22"/>
          <w:szCs w:val="22"/>
        </w:rPr>
        <w:t xml:space="preserve"> a marked pr</w:t>
      </w:r>
      <w:r w:rsidR="00067A1C" w:rsidRPr="000412A1">
        <w:rPr>
          <w:sz w:val="22"/>
          <w:szCs w:val="22"/>
        </w:rPr>
        <w:t>esence in p</w:t>
      </w:r>
      <w:r w:rsidR="004A74ED" w:rsidRPr="000412A1">
        <w:rPr>
          <w:sz w:val="22"/>
          <w:szCs w:val="22"/>
        </w:rPr>
        <w:t>ost-treated samples</w:t>
      </w:r>
      <w:r>
        <w:rPr>
          <w:sz w:val="22"/>
          <w:szCs w:val="22"/>
        </w:rPr>
        <w:t>,</w:t>
      </w:r>
      <w:r w:rsidR="00E87B40" w:rsidRPr="000412A1">
        <w:rPr>
          <w:sz w:val="22"/>
          <w:szCs w:val="22"/>
        </w:rPr>
        <w:t xml:space="preserve"> and it</w:t>
      </w:r>
      <w:r w:rsidR="00067A1C" w:rsidRPr="000412A1">
        <w:rPr>
          <w:sz w:val="22"/>
          <w:szCs w:val="22"/>
        </w:rPr>
        <w:t xml:space="preserve"> </w:t>
      </w:r>
      <w:r>
        <w:rPr>
          <w:sz w:val="22"/>
          <w:szCs w:val="22"/>
        </w:rPr>
        <w:t>was</w:t>
      </w:r>
      <w:r w:rsidRPr="000412A1">
        <w:rPr>
          <w:sz w:val="22"/>
          <w:szCs w:val="22"/>
        </w:rPr>
        <w:t xml:space="preserve"> </w:t>
      </w:r>
      <w:r w:rsidR="00067A1C" w:rsidRPr="000412A1">
        <w:rPr>
          <w:sz w:val="22"/>
          <w:szCs w:val="22"/>
        </w:rPr>
        <w:t xml:space="preserve">still </w:t>
      </w:r>
      <w:r w:rsidR="00E87B40" w:rsidRPr="000412A1">
        <w:rPr>
          <w:sz w:val="22"/>
          <w:szCs w:val="22"/>
        </w:rPr>
        <w:t xml:space="preserve">discernible when </w:t>
      </w:r>
      <w:r w:rsidR="00067A1C" w:rsidRPr="000412A1">
        <w:rPr>
          <w:sz w:val="22"/>
          <w:szCs w:val="22"/>
        </w:rPr>
        <w:t>the most sever</w:t>
      </w:r>
      <w:r w:rsidR="00F267EA" w:rsidRPr="000412A1">
        <w:rPr>
          <w:sz w:val="22"/>
          <w:szCs w:val="22"/>
        </w:rPr>
        <w:t>e</w:t>
      </w:r>
      <w:r w:rsidR="00067A1C" w:rsidRPr="000412A1">
        <w:rPr>
          <w:sz w:val="22"/>
          <w:szCs w:val="22"/>
        </w:rPr>
        <w:t xml:space="preserve"> post-treatment</w:t>
      </w:r>
      <w:r w:rsidR="00E87B40" w:rsidRPr="000412A1">
        <w:rPr>
          <w:sz w:val="22"/>
          <w:szCs w:val="22"/>
        </w:rPr>
        <w:t xml:space="preserve"> </w:t>
      </w:r>
      <w:r>
        <w:rPr>
          <w:sz w:val="22"/>
          <w:szCs w:val="22"/>
        </w:rPr>
        <w:t>was</w:t>
      </w:r>
      <w:r w:rsidRPr="000412A1">
        <w:rPr>
          <w:sz w:val="22"/>
          <w:szCs w:val="22"/>
        </w:rPr>
        <w:t xml:space="preserve"> </w:t>
      </w:r>
      <w:r w:rsidR="00E87B40" w:rsidRPr="000412A1">
        <w:rPr>
          <w:sz w:val="22"/>
          <w:szCs w:val="22"/>
        </w:rPr>
        <w:t>evaluated</w:t>
      </w:r>
      <w:r w:rsidR="00067A1C" w:rsidRPr="000412A1">
        <w:rPr>
          <w:sz w:val="22"/>
          <w:szCs w:val="22"/>
        </w:rPr>
        <w:t>. However, the band located at 1417 cm</w:t>
      </w:r>
      <w:r w:rsidR="001E7DCA" w:rsidRPr="000412A1">
        <w:rPr>
          <w:sz w:val="22"/>
          <w:szCs w:val="22"/>
          <w:vertAlign w:val="superscript"/>
        </w:rPr>
        <w:t>–</w:t>
      </w:r>
      <w:r w:rsidR="00067A1C" w:rsidRPr="000412A1">
        <w:rPr>
          <w:sz w:val="22"/>
          <w:szCs w:val="22"/>
          <w:vertAlign w:val="superscript"/>
        </w:rPr>
        <w:t>1</w:t>
      </w:r>
      <w:r w:rsidR="00067A1C" w:rsidRPr="000412A1">
        <w:rPr>
          <w:sz w:val="22"/>
          <w:szCs w:val="22"/>
        </w:rPr>
        <w:t xml:space="preserve"> </w:t>
      </w:r>
      <w:r w:rsidR="009A70EE" w:rsidRPr="000412A1">
        <w:rPr>
          <w:sz w:val="22"/>
          <w:szCs w:val="22"/>
        </w:rPr>
        <w:t>(aliphatic structure)</w:t>
      </w:r>
      <w:r>
        <w:rPr>
          <w:sz w:val="22"/>
          <w:szCs w:val="22"/>
        </w:rPr>
        <w:t>,</w:t>
      </w:r>
      <w:r w:rsidR="009A70EE" w:rsidRPr="000412A1">
        <w:rPr>
          <w:sz w:val="22"/>
          <w:szCs w:val="22"/>
        </w:rPr>
        <w:t xml:space="preserve"> </w:t>
      </w:r>
      <w:r w:rsidR="00F267EA" w:rsidRPr="000412A1">
        <w:rPr>
          <w:sz w:val="22"/>
          <w:szCs w:val="22"/>
        </w:rPr>
        <w:t xml:space="preserve">whose </w:t>
      </w:r>
      <w:r w:rsidR="00067A1C" w:rsidRPr="000412A1">
        <w:rPr>
          <w:sz w:val="22"/>
          <w:szCs w:val="22"/>
        </w:rPr>
        <w:t xml:space="preserve">presence </w:t>
      </w:r>
      <w:r>
        <w:rPr>
          <w:sz w:val="22"/>
          <w:szCs w:val="22"/>
        </w:rPr>
        <w:t>was</w:t>
      </w:r>
      <w:r w:rsidRPr="000412A1">
        <w:rPr>
          <w:sz w:val="22"/>
          <w:szCs w:val="22"/>
        </w:rPr>
        <w:t xml:space="preserve"> </w:t>
      </w:r>
      <w:r w:rsidR="00067A1C" w:rsidRPr="000412A1">
        <w:rPr>
          <w:sz w:val="22"/>
          <w:szCs w:val="22"/>
        </w:rPr>
        <w:t>easily observed in all spectra</w:t>
      </w:r>
      <w:r>
        <w:rPr>
          <w:sz w:val="22"/>
          <w:szCs w:val="22"/>
        </w:rPr>
        <w:t>,</w:t>
      </w:r>
      <w:r w:rsidR="00067A1C" w:rsidRPr="000412A1">
        <w:rPr>
          <w:sz w:val="22"/>
          <w:szCs w:val="22"/>
        </w:rPr>
        <w:t xml:space="preserve"> </w:t>
      </w:r>
      <w:r>
        <w:rPr>
          <w:sz w:val="22"/>
          <w:szCs w:val="22"/>
        </w:rPr>
        <w:t>wa</w:t>
      </w:r>
      <w:r w:rsidRPr="000412A1">
        <w:rPr>
          <w:sz w:val="22"/>
          <w:szCs w:val="22"/>
        </w:rPr>
        <w:t xml:space="preserve">s </w:t>
      </w:r>
      <w:r w:rsidR="00067A1C" w:rsidRPr="000412A1">
        <w:rPr>
          <w:sz w:val="22"/>
          <w:szCs w:val="22"/>
        </w:rPr>
        <w:t xml:space="preserve">no longer observed in the P5 sample. This </w:t>
      </w:r>
      <w:r>
        <w:rPr>
          <w:sz w:val="22"/>
          <w:szCs w:val="22"/>
        </w:rPr>
        <w:t>was</w:t>
      </w:r>
      <w:r w:rsidRPr="000412A1">
        <w:rPr>
          <w:sz w:val="22"/>
          <w:szCs w:val="22"/>
        </w:rPr>
        <w:t xml:space="preserve"> </w:t>
      </w:r>
      <w:r w:rsidR="00067A1C" w:rsidRPr="000412A1">
        <w:rPr>
          <w:sz w:val="22"/>
          <w:szCs w:val="22"/>
        </w:rPr>
        <w:t xml:space="preserve">interpreted as a </w:t>
      </w:r>
      <w:r w:rsidR="00F267EA" w:rsidRPr="000412A1">
        <w:rPr>
          <w:sz w:val="22"/>
          <w:szCs w:val="22"/>
        </w:rPr>
        <w:t xml:space="preserve">measurement </w:t>
      </w:r>
      <w:r w:rsidR="00067A1C" w:rsidRPr="000412A1">
        <w:rPr>
          <w:sz w:val="22"/>
          <w:szCs w:val="22"/>
        </w:rPr>
        <w:t xml:space="preserve">of the severity of this post-treatment in removing </w:t>
      </w:r>
      <w:r w:rsidR="00F267EA" w:rsidRPr="000412A1">
        <w:rPr>
          <w:sz w:val="22"/>
          <w:szCs w:val="22"/>
        </w:rPr>
        <w:t>long-</w:t>
      </w:r>
      <w:r w:rsidR="00067A1C" w:rsidRPr="000412A1">
        <w:rPr>
          <w:sz w:val="22"/>
          <w:szCs w:val="22"/>
        </w:rPr>
        <w:t xml:space="preserve">chain molecules by oxidation through OH radicals. </w:t>
      </w:r>
      <w:r w:rsidR="009A70EE" w:rsidRPr="000412A1">
        <w:rPr>
          <w:sz w:val="22"/>
          <w:szCs w:val="22"/>
        </w:rPr>
        <w:t xml:space="preserve">A similar fate </w:t>
      </w:r>
      <w:r>
        <w:rPr>
          <w:sz w:val="22"/>
          <w:szCs w:val="22"/>
        </w:rPr>
        <w:t>was</w:t>
      </w:r>
      <w:r w:rsidRPr="000412A1">
        <w:rPr>
          <w:sz w:val="22"/>
          <w:szCs w:val="22"/>
        </w:rPr>
        <w:t xml:space="preserve"> </w:t>
      </w:r>
      <w:r w:rsidR="009A70EE" w:rsidRPr="000412A1">
        <w:rPr>
          <w:sz w:val="22"/>
          <w:szCs w:val="22"/>
        </w:rPr>
        <w:t xml:space="preserve">observed for the peak at </w:t>
      </w:r>
      <w:r w:rsidR="00D21E9D" w:rsidRPr="000412A1">
        <w:rPr>
          <w:sz w:val="22"/>
          <w:szCs w:val="22"/>
        </w:rPr>
        <w:t>875 cm</w:t>
      </w:r>
      <w:r w:rsidR="001E7DCA" w:rsidRPr="000412A1">
        <w:rPr>
          <w:sz w:val="22"/>
          <w:szCs w:val="22"/>
          <w:vertAlign w:val="superscript"/>
        </w:rPr>
        <w:t>–</w:t>
      </w:r>
      <w:r w:rsidR="00D21E9D" w:rsidRPr="000412A1">
        <w:rPr>
          <w:sz w:val="22"/>
          <w:szCs w:val="22"/>
          <w:vertAlign w:val="superscript"/>
        </w:rPr>
        <w:t>1</w:t>
      </w:r>
      <w:r w:rsidR="00D21E9D" w:rsidRPr="000412A1">
        <w:rPr>
          <w:sz w:val="22"/>
          <w:szCs w:val="22"/>
        </w:rPr>
        <w:t xml:space="preserve"> </w:t>
      </w:r>
      <w:r w:rsidR="009A70EE" w:rsidRPr="000412A1">
        <w:rPr>
          <w:sz w:val="22"/>
          <w:szCs w:val="22"/>
        </w:rPr>
        <w:t>(</w:t>
      </w:r>
      <w:r w:rsidR="00D21E9D" w:rsidRPr="000412A1">
        <w:rPr>
          <w:sz w:val="22"/>
          <w:szCs w:val="22"/>
        </w:rPr>
        <w:t>assigned to the presence of inorganic carbonates</w:t>
      </w:r>
      <w:r w:rsidR="009A70EE" w:rsidRPr="000412A1">
        <w:rPr>
          <w:sz w:val="22"/>
          <w:szCs w:val="22"/>
        </w:rPr>
        <w:t>)</w:t>
      </w:r>
      <w:r>
        <w:rPr>
          <w:sz w:val="22"/>
          <w:szCs w:val="22"/>
        </w:rPr>
        <w:t>,</w:t>
      </w:r>
      <w:r w:rsidR="009A70EE" w:rsidRPr="000412A1">
        <w:rPr>
          <w:sz w:val="22"/>
          <w:szCs w:val="22"/>
        </w:rPr>
        <w:t xml:space="preserve"> which </w:t>
      </w:r>
      <w:r>
        <w:rPr>
          <w:sz w:val="22"/>
          <w:szCs w:val="22"/>
        </w:rPr>
        <w:t>was</w:t>
      </w:r>
      <w:r w:rsidRPr="000412A1">
        <w:rPr>
          <w:sz w:val="22"/>
          <w:szCs w:val="22"/>
        </w:rPr>
        <w:t xml:space="preserve"> </w:t>
      </w:r>
      <w:r w:rsidR="00D21E9D" w:rsidRPr="000412A1">
        <w:rPr>
          <w:sz w:val="22"/>
          <w:szCs w:val="22"/>
        </w:rPr>
        <w:t xml:space="preserve">no longer visible </w:t>
      </w:r>
      <w:r w:rsidR="00CA3F71" w:rsidRPr="000412A1">
        <w:rPr>
          <w:sz w:val="22"/>
          <w:szCs w:val="22"/>
        </w:rPr>
        <w:t xml:space="preserve">for </w:t>
      </w:r>
      <w:r w:rsidR="009A70EE" w:rsidRPr="000412A1">
        <w:rPr>
          <w:sz w:val="22"/>
          <w:szCs w:val="22"/>
        </w:rPr>
        <w:t xml:space="preserve">this </w:t>
      </w:r>
      <w:r w:rsidR="00D21E9D" w:rsidRPr="000412A1">
        <w:rPr>
          <w:sz w:val="22"/>
          <w:szCs w:val="22"/>
        </w:rPr>
        <w:t>sample.</w:t>
      </w:r>
    </w:p>
    <w:p w14:paraId="080CC178" w14:textId="0205C8C6" w:rsidR="00324282" w:rsidRPr="000412A1" w:rsidRDefault="00601543" w:rsidP="009A0A82">
      <w:pPr>
        <w:spacing w:after="160" w:line="480" w:lineRule="auto"/>
        <w:rPr>
          <w:sz w:val="22"/>
          <w:szCs w:val="22"/>
        </w:rPr>
      </w:pPr>
      <w:r w:rsidRPr="000412A1">
        <w:rPr>
          <w:sz w:val="22"/>
          <w:szCs w:val="22"/>
        </w:rPr>
        <w:lastRenderedPageBreak/>
        <w:t xml:space="preserve"> Electr</w:t>
      </w:r>
      <w:r w:rsidR="001E7DCA" w:rsidRPr="000412A1">
        <w:rPr>
          <w:sz w:val="22"/>
          <w:szCs w:val="22"/>
        </w:rPr>
        <w:t>o-o</w:t>
      </w:r>
      <w:r w:rsidRPr="000412A1">
        <w:rPr>
          <w:sz w:val="22"/>
          <w:szCs w:val="22"/>
        </w:rPr>
        <w:t>xidation enhanced the stability of digested sludge</w:t>
      </w:r>
      <w:r w:rsidR="009A70EE" w:rsidRPr="000412A1">
        <w:rPr>
          <w:sz w:val="22"/>
          <w:szCs w:val="22"/>
        </w:rPr>
        <w:t xml:space="preserve"> by </w:t>
      </w:r>
      <w:r w:rsidR="00F267EA" w:rsidRPr="000412A1">
        <w:rPr>
          <w:sz w:val="22"/>
          <w:szCs w:val="22"/>
        </w:rPr>
        <w:t>oxidising</w:t>
      </w:r>
      <w:r w:rsidR="009A70EE" w:rsidRPr="000412A1">
        <w:rPr>
          <w:sz w:val="22"/>
          <w:szCs w:val="22"/>
        </w:rPr>
        <w:t xml:space="preserve"> </w:t>
      </w:r>
      <w:r w:rsidR="00F267EA" w:rsidRPr="000412A1">
        <w:rPr>
          <w:sz w:val="22"/>
          <w:szCs w:val="22"/>
        </w:rPr>
        <w:t xml:space="preserve">the </w:t>
      </w:r>
      <w:r w:rsidR="009A70EE" w:rsidRPr="000412A1">
        <w:rPr>
          <w:sz w:val="22"/>
          <w:szCs w:val="22"/>
        </w:rPr>
        <w:t>aliphatic structures present in digested samples</w:t>
      </w:r>
      <w:r w:rsidR="00D14EEA">
        <w:rPr>
          <w:sz w:val="22"/>
          <w:szCs w:val="22"/>
        </w:rPr>
        <w:t>,</w:t>
      </w:r>
      <w:r w:rsidR="009A70EE" w:rsidRPr="000412A1">
        <w:rPr>
          <w:sz w:val="22"/>
          <w:szCs w:val="22"/>
        </w:rPr>
        <w:t xml:space="preserve"> and </w:t>
      </w:r>
      <w:r w:rsidR="00083FC1" w:rsidRPr="000412A1">
        <w:rPr>
          <w:sz w:val="22"/>
          <w:szCs w:val="22"/>
        </w:rPr>
        <w:t xml:space="preserve">modifying </w:t>
      </w:r>
      <w:r w:rsidR="009A70EE" w:rsidRPr="000412A1">
        <w:rPr>
          <w:sz w:val="22"/>
          <w:szCs w:val="22"/>
        </w:rPr>
        <w:t>the protein structure of the sample. T</w:t>
      </w:r>
      <w:r w:rsidRPr="000412A1">
        <w:rPr>
          <w:sz w:val="22"/>
          <w:szCs w:val="22"/>
        </w:rPr>
        <w:t xml:space="preserve">his is </w:t>
      </w:r>
      <w:r w:rsidR="0059093B" w:rsidRPr="000412A1">
        <w:rPr>
          <w:sz w:val="22"/>
          <w:szCs w:val="22"/>
        </w:rPr>
        <w:t>the case</w:t>
      </w:r>
      <w:r w:rsidRPr="000412A1">
        <w:rPr>
          <w:sz w:val="22"/>
          <w:szCs w:val="22"/>
        </w:rPr>
        <w:t xml:space="preserve"> for those treatments</w:t>
      </w:r>
      <w:r w:rsidR="00A32954" w:rsidRPr="000412A1">
        <w:rPr>
          <w:sz w:val="22"/>
          <w:szCs w:val="22"/>
        </w:rPr>
        <w:t xml:space="preserve"> performed</w:t>
      </w:r>
      <w:r w:rsidRPr="000412A1">
        <w:rPr>
          <w:sz w:val="22"/>
          <w:szCs w:val="22"/>
        </w:rPr>
        <w:t xml:space="preserve"> </w:t>
      </w:r>
      <w:r w:rsidR="0059093B" w:rsidRPr="000412A1">
        <w:rPr>
          <w:sz w:val="22"/>
          <w:szCs w:val="22"/>
        </w:rPr>
        <w:t xml:space="preserve">under </w:t>
      </w:r>
      <w:r w:rsidR="00927F94" w:rsidRPr="000412A1">
        <w:rPr>
          <w:sz w:val="22"/>
          <w:szCs w:val="22"/>
        </w:rPr>
        <w:t>extreme</w:t>
      </w:r>
      <w:r w:rsidRPr="000412A1">
        <w:rPr>
          <w:sz w:val="22"/>
          <w:szCs w:val="22"/>
        </w:rPr>
        <w:t xml:space="preserve"> conditions, </w:t>
      </w:r>
      <w:r w:rsidR="00D14EEA">
        <w:rPr>
          <w:sz w:val="22"/>
          <w:szCs w:val="22"/>
        </w:rPr>
        <w:t>that</w:t>
      </w:r>
      <w:r w:rsidRPr="000412A1">
        <w:rPr>
          <w:sz w:val="22"/>
          <w:szCs w:val="22"/>
        </w:rPr>
        <w:t xml:space="preserve"> is</w:t>
      </w:r>
      <w:r w:rsidR="00A32954" w:rsidRPr="000412A1">
        <w:rPr>
          <w:sz w:val="22"/>
          <w:szCs w:val="22"/>
        </w:rPr>
        <w:t>,</w:t>
      </w:r>
      <w:r w:rsidRPr="000412A1">
        <w:rPr>
          <w:sz w:val="22"/>
          <w:szCs w:val="22"/>
        </w:rPr>
        <w:t xml:space="preserve"> P4 (higher current density) and P5 (extended </w:t>
      </w:r>
      <w:r w:rsidR="00D14EEA" w:rsidRPr="000412A1">
        <w:rPr>
          <w:sz w:val="22"/>
          <w:szCs w:val="22"/>
        </w:rPr>
        <w:t xml:space="preserve">treatment </w:t>
      </w:r>
      <w:r w:rsidRPr="000412A1">
        <w:rPr>
          <w:sz w:val="22"/>
          <w:szCs w:val="22"/>
        </w:rPr>
        <w:t>time).</w:t>
      </w:r>
      <w:r w:rsidR="009A70EE" w:rsidRPr="000412A1">
        <w:rPr>
          <w:sz w:val="22"/>
          <w:szCs w:val="22"/>
        </w:rPr>
        <w:t xml:space="preserve"> In the f</w:t>
      </w:r>
      <w:r w:rsidR="00D14EEA">
        <w:rPr>
          <w:sz w:val="22"/>
          <w:szCs w:val="22"/>
        </w:rPr>
        <w:t>ormer</w:t>
      </w:r>
      <w:r w:rsidR="009A70EE" w:rsidRPr="000412A1">
        <w:rPr>
          <w:sz w:val="22"/>
          <w:szCs w:val="22"/>
        </w:rPr>
        <w:t xml:space="preserve">, modifications in FTIR spectra </w:t>
      </w:r>
      <w:r w:rsidR="00D14EEA">
        <w:rPr>
          <w:sz w:val="22"/>
          <w:szCs w:val="22"/>
        </w:rPr>
        <w:t>were</w:t>
      </w:r>
      <w:r w:rsidR="00D14EEA" w:rsidRPr="000412A1">
        <w:rPr>
          <w:sz w:val="22"/>
          <w:szCs w:val="22"/>
        </w:rPr>
        <w:t xml:space="preserve"> </w:t>
      </w:r>
      <w:r w:rsidR="009A70EE" w:rsidRPr="000412A1">
        <w:rPr>
          <w:sz w:val="22"/>
          <w:szCs w:val="22"/>
        </w:rPr>
        <w:t xml:space="preserve">hardly </w:t>
      </w:r>
      <w:r w:rsidR="00AA2CEF" w:rsidRPr="000412A1">
        <w:rPr>
          <w:sz w:val="22"/>
          <w:szCs w:val="22"/>
        </w:rPr>
        <w:t xml:space="preserve">noticeable </w:t>
      </w:r>
      <w:r w:rsidR="009A70EE" w:rsidRPr="000412A1">
        <w:rPr>
          <w:sz w:val="22"/>
          <w:szCs w:val="22"/>
        </w:rPr>
        <w:t>when comparing</w:t>
      </w:r>
      <w:r w:rsidR="00A32954" w:rsidRPr="000412A1">
        <w:rPr>
          <w:sz w:val="22"/>
          <w:szCs w:val="22"/>
        </w:rPr>
        <w:t xml:space="preserve"> </w:t>
      </w:r>
      <w:r w:rsidR="00D14EEA">
        <w:rPr>
          <w:sz w:val="22"/>
          <w:szCs w:val="22"/>
        </w:rPr>
        <w:t>them with</w:t>
      </w:r>
      <w:r w:rsidR="00D14EEA" w:rsidRPr="000412A1">
        <w:rPr>
          <w:sz w:val="22"/>
          <w:szCs w:val="22"/>
        </w:rPr>
        <w:t xml:space="preserve"> </w:t>
      </w:r>
      <w:r w:rsidR="009A70EE" w:rsidRPr="000412A1">
        <w:rPr>
          <w:sz w:val="22"/>
          <w:szCs w:val="22"/>
        </w:rPr>
        <w:t>the post-treated samples, but changes in the protein region of the spectra (</w:t>
      </w:r>
      <w:r w:rsidR="00AA2CEF" w:rsidRPr="000412A1">
        <w:rPr>
          <w:sz w:val="22"/>
          <w:szCs w:val="22"/>
        </w:rPr>
        <w:t xml:space="preserve">a </w:t>
      </w:r>
      <w:r w:rsidR="009A70EE" w:rsidRPr="000412A1">
        <w:rPr>
          <w:sz w:val="22"/>
          <w:szCs w:val="22"/>
        </w:rPr>
        <w:t>small decrease in signal intensity at around 1500</w:t>
      </w:r>
      <w:r w:rsidR="001E7DCA" w:rsidRPr="000412A1">
        <w:rPr>
          <w:sz w:val="22"/>
          <w:szCs w:val="22"/>
        </w:rPr>
        <w:t>–</w:t>
      </w:r>
      <w:r w:rsidR="009A70EE" w:rsidRPr="000412A1">
        <w:rPr>
          <w:sz w:val="22"/>
          <w:szCs w:val="22"/>
        </w:rPr>
        <w:t>1600 cm</w:t>
      </w:r>
      <w:r w:rsidR="001E7DCA" w:rsidRPr="000412A1">
        <w:rPr>
          <w:sz w:val="22"/>
          <w:szCs w:val="22"/>
          <w:vertAlign w:val="superscript"/>
        </w:rPr>
        <w:t>–</w:t>
      </w:r>
      <w:r w:rsidR="009A70EE" w:rsidRPr="000412A1">
        <w:rPr>
          <w:sz w:val="22"/>
          <w:szCs w:val="22"/>
          <w:vertAlign w:val="superscript"/>
        </w:rPr>
        <w:t>1</w:t>
      </w:r>
      <w:r w:rsidR="009A70EE" w:rsidRPr="000412A1">
        <w:rPr>
          <w:sz w:val="22"/>
          <w:szCs w:val="22"/>
        </w:rPr>
        <w:t>) may</w:t>
      </w:r>
      <w:r w:rsidR="00D14EEA">
        <w:rPr>
          <w:sz w:val="22"/>
          <w:szCs w:val="22"/>
        </w:rPr>
        <w:t xml:space="preserve"> have</w:t>
      </w:r>
      <w:r w:rsidR="009A70EE" w:rsidRPr="000412A1">
        <w:rPr>
          <w:sz w:val="22"/>
          <w:szCs w:val="22"/>
        </w:rPr>
        <w:t xml:space="preserve"> be</w:t>
      </w:r>
      <w:r w:rsidR="00D14EEA">
        <w:rPr>
          <w:sz w:val="22"/>
          <w:szCs w:val="22"/>
        </w:rPr>
        <w:t>en</w:t>
      </w:r>
      <w:r w:rsidR="009A70EE" w:rsidRPr="000412A1">
        <w:rPr>
          <w:sz w:val="22"/>
          <w:szCs w:val="22"/>
        </w:rPr>
        <w:t xml:space="preserve"> responsible </w:t>
      </w:r>
      <w:r w:rsidR="00AA2CEF" w:rsidRPr="000412A1">
        <w:rPr>
          <w:sz w:val="22"/>
          <w:szCs w:val="22"/>
        </w:rPr>
        <w:t xml:space="preserve">for </w:t>
      </w:r>
      <w:r w:rsidR="009A70EE" w:rsidRPr="000412A1">
        <w:rPr>
          <w:sz w:val="22"/>
          <w:szCs w:val="22"/>
        </w:rPr>
        <w:t xml:space="preserve">the higher release of water </w:t>
      </w:r>
      <w:r w:rsidR="00A32954" w:rsidRPr="000412A1">
        <w:rPr>
          <w:sz w:val="22"/>
          <w:szCs w:val="22"/>
        </w:rPr>
        <w:t>when analysing</w:t>
      </w:r>
      <w:r w:rsidR="00D14EEA">
        <w:rPr>
          <w:sz w:val="22"/>
          <w:szCs w:val="22"/>
        </w:rPr>
        <w:t xml:space="preserve"> the</w:t>
      </w:r>
      <w:r w:rsidR="00A32954" w:rsidRPr="000412A1">
        <w:rPr>
          <w:sz w:val="22"/>
          <w:szCs w:val="22"/>
        </w:rPr>
        <w:t xml:space="preserve"> </w:t>
      </w:r>
      <w:r w:rsidR="009A70EE" w:rsidRPr="000412A1">
        <w:rPr>
          <w:sz w:val="22"/>
          <w:szCs w:val="22"/>
        </w:rPr>
        <w:t>drying curves. The P5 sample</w:t>
      </w:r>
      <w:r w:rsidR="00AA2CEF" w:rsidRPr="000412A1">
        <w:rPr>
          <w:sz w:val="22"/>
          <w:szCs w:val="22"/>
        </w:rPr>
        <w:t>,</w:t>
      </w:r>
      <w:r w:rsidR="009A70EE" w:rsidRPr="000412A1">
        <w:rPr>
          <w:sz w:val="22"/>
          <w:szCs w:val="22"/>
        </w:rPr>
        <w:t xml:space="preserve"> on the other hand</w:t>
      </w:r>
      <w:r w:rsidR="00AA2CEF" w:rsidRPr="000412A1">
        <w:rPr>
          <w:sz w:val="22"/>
          <w:szCs w:val="22"/>
        </w:rPr>
        <w:t>,</w:t>
      </w:r>
      <w:r w:rsidR="009A70EE" w:rsidRPr="000412A1">
        <w:rPr>
          <w:sz w:val="22"/>
          <w:szCs w:val="22"/>
        </w:rPr>
        <w:t xml:space="preserve"> </w:t>
      </w:r>
      <w:r w:rsidR="00AA2CEF" w:rsidRPr="000412A1">
        <w:rPr>
          <w:bCs/>
          <w:sz w:val="22"/>
          <w:szCs w:val="22"/>
        </w:rPr>
        <w:t>provide</w:t>
      </w:r>
      <w:r w:rsidR="00AA7664">
        <w:rPr>
          <w:bCs/>
          <w:sz w:val="22"/>
          <w:szCs w:val="22"/>
        </w:rPr>
        <w:t>d</w:t>
      </w:r>
      <w:r w:rsidR="00AA2CEF" w:rsidRPr="000412A1">
        <w:rPr>
          <w:bCs/>
          <w:sz w:val="22"/>
          <w:szCs w:val="22"/>
        </w:rPr>
        <w:t xml:space="preserve"> a better understanding</w:t>
      </w:r>
      <w:r w:rsidR="009A70EE" w:rsidRPr="000412A1">
        <w:rPr>
          <w:color w:val="FF0000"/>
          <w:sz w:val="22"/>
          <w:szCs w:val="22"/>
        </w:rPr>
        <w:t xml:space="preserve"> </w:t>
      </w:r>
      <w:r w:rsidR="009A70EE" w:rsidRPr="000412A1">
        <w:rPr>
          <w:sz w:val="22"/>
          <w:szCs w:val="22"/>
        </w:rPr>
        <w:t xml:space="preserve">of </w:t>
      </w:r>
      <w:r w:rsidR="00AA7664">
        <w:rPr>
          <w:sz w:val="22"/>
          <w:szCs w:val="22"/>
        </w:rPr>
        <w:t xml:space="preserve">the </w:t>
      </w:r>
      <w:r w:rsidR="00AA7664" w:rsidRPr="000412A1">
        <w:rPr>
          <w:sz w:val="22"/>
          <w:szCs w:val="22"/>
        </w:rPr>
        <w:t xml:space="preserve">attained </w:t>
      </w:r>
      <w:r w:rsidR="009A70EE" w:rsidRPr="000412A1">
        <w:rPr>
          <w:sz w:val="22"/>
          <w:szCs w:val="22"/>
        </w:rPr>
        <w:t xml:space="preserve">changes </w:t>
      </w:r>
      <w:r w:rsidR="00167301" w:rsidRPr="000412A1">
        <w:rPr>
          <w:sz w:val="22"/>
          <w:szCs w:val="22"/>
        </w:rPr>
        <w:t xml:space="preserve">thanks to </w:t>
      </w:r>
      <w:r w:rsidR="009A70EE" w:rsidRPr="000412A1">
        <w:rPr>
          <w:sz w:val="22"/>
          <w:szCs w:val="22"/>
        </w:rPr>
        <w:t xml:space="preserve">the post-treatment. The significant oxidation of the sample </w:t>
      </w:r>
      <w:r w:rsidR="00AA7664">
        <w:rPr>
          <w:sz w:val="22"/>
          <w:szCs w:val="22"/>
        </w:rPr>
        <w:t>was</w:t>
      </w:r>
      <w:r w:rsidR="00AA7664" w:rsidRPr="000412A1">
        <w:rPr>
          <w:sz w:val="22"/>
          <w:szCs w:val="22"/>
        </w:rPr>
        <w:t xml:space="preserve"> </w:t>
      </w:r>
      <w:r w:rsidR="009A70EE" w:rsidRPr="000412A1">
        <w:rPr>
          <w:sz w:val="22"/>
          <w:szCs w:val="22"/>
        </w:rPr>
        <w:t xml:space="preserve">easily observed </w:t>
      </w:r>
      <w:r w:rsidR="009E755F" w:rsidRPr="000412A1">
        <w:rPr>
          <w:sz w:val="22"/>
          <w:szCs w:val="22"/>
        </w:rPr>
        <w:t xml:space="preserve">from </w:t>
      </w:r>
      <w:r w:rsidR="009A70EE" w:rsidRPr="000412A1">
        <w:rPr>
          <w:sz w:val="22"/>
          <w:szCs w:val="22"/>
        </w:rPr>
        <w:t>its spectrum</w:t>
      </w:r>
      <w:r w:rsidR="00AA7664">
        <w:rPr>
          <w:sz w:val="22"/>
          <w:szCs w:val="22"/>
        </w:rPr>
        <w:t xml:space="preserve">, </w:t>
      </w:r>
      <w:r w:rsidR="009A70EE" w:rsidRPr="000412A1">
        <w:rPr>
          <w:sz w:val="22"/>
          <w:szCs w:val="22"/>
        </w:rPr>
        <w:t xml:space="preserve">explaining the relevant impact of </w:t>
      </w:r>
      <w:r w:rsidR="001E7DCA" w:rsidRPr="000412A1">
        <w:rPr>
          <w:sz w:val="22"/>
          <w:szCs w:val="22"/>
        </w:rPr>
        <w:t>P</w:t>
      </w:r>
      <w:r w:rsidR="009A70EE" w:rsidRPr="000412A1">
        <w:rPr>
          <w:sz w:val="22"/>
          <w:szCs w:val="22"/>
        </w:rPr>
        <w:t>ost-</w:t>
      </w:r>
      <w:r w:rsidR="001E7DCA" w:rsidRPr="000412A1">
        <w:rPr>
          <w:sz w:val="22"/>
          <w:szCs w:val="22"/>
        </w:rPr>
        <w:t xml:space="preserve">Treatment </w:t>
      </w:r>
      <w:r w:rsidR="009A70EE" w:rsidRPr="000412A1">
        <w:rPr>
          <w:sz w:val="22"/>
          <w:szCs w:val="22"/>
        </w:rPr>
        <w:t>P5 on drying behaviour</w:t>
      </w:r>
      <w:r w:rsidR="00AA2CEF" w:rsidRPr="000412A1">
        <w:rPr>
          <w:sz w:val="22"/>
          <w:szCs w:val="22"/>
        </w:rPr>
        <w:t>.</w:t>
      </w:r>
    </w:p>
    <w:p w14:paraId="23E992D6" w14:textId="2448630D" w:rsidR="00904228" w:rsidRPr="000412A1" w:rsidRDefault="00324282" w:rsidP="00C012DA">
      <w:pPr>
        <w:spacing w:line="480" w:lineRule="auto"/>
        <w:rPr>
          <w:b/>
          <w:sz w:val="22"/>
          <w:szCs w:val="22"/>
        </w:rPr>
      </w:pPr>
      <w:r w:rsidRPr="000412A1">
        <w:rPr>
          <w:b/>
          <w:sz w:val="22"/>
          <w:szCs w:val="22"/>
        </w:rPr>
        <w:t>4. Conclusions</w:t>
      </w:r>
    </w:p>
    <w:p w14:paraId="3669A3D4" w14:textId="274ED406" w:rsidR="009563B0" w:rsidRPr="000412A1" w:rsidRDefault="0064661E" w:rsidP="00E762A5">
      <w:pPr>
        <w:spacing w:line="480" w:lineRule="auto"/>
        <w:rPr>
          <w:sz w:val="22"/>
        </w:rPr>
      </w:pPr>
      <w:r w:rsidRPr="000412A1">
        <w:rPr>
          <w:sz w:val="22"/>
        </w:rPr>
        <w:t>Electro</w:t>
      </w:r>
      <w:r w:rsidR="001E7DCA" w:rsidRPr="000412A1">
        <w:rPr>
          <w:sz w:val="22"/>
        </w:rPr>
        <w:t>-</w:t>
      </w:r>
      <w:r w:rsidRPr="000412A1">
        <w:rPr>
          <w:sz w:val="22"/>
        </w:rPr>
        <w:t xml:space="preserve">oxidation </w:t>
      </w:r>
      <w:r w:rsidR="009563B0" w:rsidRPr="000412A1">
        <w:rPr>
          <w:sz w:val="22"/>
        </w:rPr>
        <w:t>was</w:t>
      </w:r>
      <w:r w:rsidRPr="000412A1">
        <w:rPr>
          <w:sz w:val="22"/>
        </w:rPr>
        <w:t xml:space="preserve"> studied as</w:t>
      </w:r>
      <w:r w:rsidR="001E7DCA" w:rsidRPr="000412A1">
        <w:rPr>
          <w:sz w:val="22"/>
        </w:rPr>
        <w:t xml:space="preserve"> a</w:t>
      </w:r>
      <w:r w:rsidRPr="000412A1">
        <w:rPr>
          <w:sz w:val="22"/>
        </w:rPr>
        <w:t xml:space="preserve"> </w:t>
      </w:r>
      <w:r w:rsidR="001E7DCA" w:rsidRPr="000412A1">
        <w:rPr>
          <w:sz w:val="22"/>
        </w:rPr>
        <w:t>pre-</w:t>
      </w:r>
      <w:r w:rsidR="009563B0" w:rsidRPr="000412A1">
        <w:rPr>
          <w:sz w:val="22"/>
        </w:rPr>
        <w:t xml:space="preserve"> and post-treatment alternative for improving digestion performance and sludge handling. In the </w:t>
      </w:r>
      <w:r w:rsidR="00AA7664">
        <w:rPr>
          <w:sz w:val="22"/>
        </w:rPr>
        <w:t>former</w:t>
      </w:r>
      <w:r w:rsidR="009563B0" w:rsidRPr="000412A1">
        <w:rPr>
          <w:sz w:val="22"/>
        </w:rPr>
        <w:t>, electr</w:t>
      </w:r>
      <w:r w:rsidR="001E7DCA" w:rsidRPr="000412A1">
        <w:rPr>
          <w:sz w:val="22"/>
        </w:rPr>
        <w:t>o-o</w:t>
      </w:r>
      <w:r w:rsidR="009563B0" w:rsidRPr="000412A1">
        <w:rPr>
          <w:sz w:val="22"/>
        </w:rPr>
        <w:t xml:space="preserve">xidation proved to be a </w:t>
      </w:r>
      <w:r w:rsidRPr="000412A1">
        <w:rPr>
          <w:sz w:val="22"/>
        </w:rPr>
        <w:t xml:space="preserve">suitable </w:t>
      </w:r>
      <w:r w:rsidR="00DF1ADB" w:rsidRPr="000412A1">
        <w:rPr>
          <w:sz w:val="22"/>
        </w:rPr>
        <w:t xml:space="preserve">way </w:t>
      </w:r>
      <w:r w:rsidRPr="000412A1">
        <w:rPr>
          <w:sz w:val="22"/>
        </w:rPr>
        <w:t>for enhancing</w:t>
      </w:r>
      <w:r w:rsidR="00AA7664">
        <w:rPr>
          <w:sz w:val="22"/>
        </w:rPr>
        <w:t xml:space="preserve"> the</w:t>
      </w:r>
      <w:r w:rsidRPr="000412A1">
        <w:rPr>
          <w:sz w:val="22"/>
        </w:rPr>
        <w:t xml:space="preserve"> </w:t>
      </w:r>
      <w:r w:rsidR="00E762A5" w:rsidRPr="000412A1">
        <w:rPr>
          <w:sz w:val="22"/>
        </w:rPr>
        <w:t xml:space="preserve">hydrolysis </w:t>
      </w:r>
      <w:r w:rsidRPr="000412A1">
        <w:rPr>
          <w:sz w:val="22"/>
        </w:rPr>
        <w:t>of sewage sludge</w:t>
      </w:r>
      <w:r w:rsidR="009563B0" w:rsidRPr="000412A1">
        <w:rPr>
          <w:sz w:val="22"/>
        </w:rPr>
        <w:t xml:space="preserve"> by favouring the </w:t>
      </w:r>
      <w:r w:rsidR="00C65E84" w:rsidRPr="000412A1">
        <w:rPr>
          <w:sz w:val="22"/>
        </w:rPr>
        <w:t xml:space="preserve">solubilisation </w:t>
      </w:r>
      <w:r w:rsidR="009563B0" w:rsidRPr="000412A1">
        <w:rPr>
          <w:sz w:val="22"/>
        </w:rPr>
        <w:t>of organic matter</w:t>
      </w:r>
      <w:r w:rsidR="00DF1ADB" w:rsidRPr="000412A1">
        <w:rPr>
          <w:sz w:val="22"/>
        </w:rPr>
        <w:t xml:space="preserve">, </w:t>
      </w:r>
      <w:r w:rsidRPr="000412A1">
        <w:rPr>
          <w:sz w:val="22"/>
        </w:rPr>
        <w:t xml:space="preserve">hence </w:t>
      </w:r>
      <w:r w:rsidR="009563B0" w:rsidRPr="000412A1">
        <w:rPr>
          <w:sz w:val="22"/>
        </w:rPr>
        <w:t>aid</w:t>
      </w:r>
      <w:r w:rsidR="00336E8F" w:rsidRPr="000412A1">
        <w:rPr>
          <w:sz w:val="22"/>
        </w:rPr>
        <w:t>ing</w:t>
      </w:r>
      <w:r w:rsidR="009563B0" w:rsidRPr="000412A1">
        <w:rPr>
          <w:sz w:val="22"/>
        </w:rPr>
        <w:t xml:space="preserve"> in </w:t>
      </w:r>
      <w:r w:rsidR="00DF1ADB" w:rsidRPr="000412A1">
        <w:rPr>
          <w:sz w:val="22"/>
        </w:rPr>
        <w:t xml:space="preserve">the </w:t>
      </w:r>
      <w:r w:rsidR="009563B0" w:rsidRPr="000412A1">
        <w:rPr>
          <w:sz w:val="22"/>
        </w:rPr>
        <w:t>anaerobic degradation of complex compounds</w:t>
      </w:r>
      <w:r w:rsidR="00C65E84" w:rsidRPr="000412A1">
        <w:rPr>
          <w:sz w:val="22"/>
        </w:rPr>
        <w:t>.</w:t>
      </w:r>
      <w:r w:rsidRPr="000412A1">
        <w:rPr>
          <w:sz w:val="22"/>
        </w:rPr>
        <w:t xml:space="preserve"> </w:t>
      </w:r>
      <w:r w:rsidR="00E77264" w:rsidRPr="000412A1">
        <w:rPr>
          <w:sz w:val="22"/>
        </w:rPr>
        <w:t>The application of electr</w:t>
      </w:r>
      <w:r w:rsidR="001E7DCA" w:rsidRPr="000412A1">
        <w:rPr>
          <w:sz w:val="22"/>
        </w:rPr>
        <w:t>o-o</w:t>
      </w:r>
      <w:r w:rsidR="00E77264" w:rsidRPr="000412A1">
        <w:rPr>
          <w:sz w:val="22"/>
        </w:rPr>
        <w:t xml:space="preserve">xidation on WAS </w:t>
      </w:r>
      <w:r w:rsidR="00F87AEB" w:rsidRPr="000412A1">
        <w:rPr>
          <w:sz w:val="22"/>
        </w:rPr>
        <w:t>before</w:t>
      </w:r>
      <w:r w:rsidR="00E77264" w:rsidRPr="000412A1">
        <w:rPr>
          <w:sz w:val="22"/>
        </w:rPr>
        <w:t xml:space="preserve"> anaerobic digestion</w:t>
      </w:r>
      <w:r w:rsidR="009563B0" w:rsidRPr="000412A1">
        <w:rPr>
          <w:sz w:val="22"/>
        </w:rPr>
        <w:t xml:space="preserve"> caused </w:t>
      </w:r>
      <w:r w:rsidR="00DF1ADB" w:rsidRPr="000412A1">
        <w:rPr>
          <w:sz w:val="22"/>
        </w:rPr>
        <w:t>cell</w:t>
      </w:r>
      <w:r w:rsidR="00F26285">
        <w:rPr>
          <w:sz w:val="22"/>
        </w:rPr>
        <w:t xml:space="preserve"> </w:t>
      </w:r>
      <w:r w:rsidR="00DF1ADB" w:rsidRPr="000412A1">
        <w:rPr>
          <w:sz w:val="22"/>
        </w:rPr>
        <w:t xml:space="preserve">membrane damage, </w:t>
      </w:r>
      <w:r w:rsidR="009563B0" w:rsidRPr="000412A1">
        <w:rPr>
          <w:sz w:val="22"/>
        </w:rPr>
        <w:t xml:space="preserve">releasing </w:t>
      </w:r>
      <w:r w:rsidR="00DF1ADB" w:rsidRPr="000412A1">
        <w:rPr>
          <w:sz w:val="22"/>
        </w:rPr>
        <w:t>inner</w:t>
      </w:r>
      <w:r w:rsidR="001E7DCA" w:rsidRPr="000412A1">
        <w:rPr>
          <w:sz w:val="22"/>
        </w:rPr>
        <w:t>-</w:t>
      </w:r>
      <w:r w:rsidR="00E77264" w:rsidRPr="000412A1">
        <w:rPr>
          <w:sz w:val="22"/>
        </w:rPr>
        <w:t xml:space="preserve">cell </w:t>
      </w:r>
      <w:r w:rsidR="009563B0" w:rsidRPr="000412A1">
        <w:rPr>
          <w:sz w:val="22"/>
        </w:rPr>
        <w:t xml:space="preserve">materials </w:t>
      </w:r>
      <w:r w:rsidR="00E77264" w:rsidRPr="000412A1">
        <w:rPr>
          <w:sz w:val="22"/>
        </w:rPr>
        <w:t>accessible to anaerobic microflora</w:t>
      </w:r>
      <w:r w:rsidR="00AA7664">
        <w:rPr>
          <w:sz w:val="22"/>
        </w:rPr>
        <w:t>,</w:t>
      </w:r>
      <w:r w:rsidR="00E77264" w:rsidRPr="000412A1">
        <w:rPr>
          <w:sz w:val="22"/>
        </w:rPr>
        <w:t xml:space="preserve"> </w:t>
      </w:r>
      <w:r w:rsidR="009563B0" w:rsidRPr="000412A1">
        <w:rPr>
          <w:sz w:val="22"/>
        </w:rPr>
        <w:t>and facilitating</w:t>
      </w:r>
      <w:r w:rsidR="00E762A5" w:rsidRPr="000412A1">
        <w:rPr>
          <w:sz w:val="22"/>
        </w:rPr>
        <w:t xml:space="preserve"> </w:t>
      </w:r>
      <w:r w:rsidR="009563B0" w:rsidRPr="000412A1">
        <w:rPr>
          <w:sz w:val="22"/>
        </w:rPr>
        <w:t xml:space="preserve">degradation. </w:t>
      </w:r>
      <w:r w:rsidR="00905FF6" w:rsidRPr="000412A1">
        <w:rPr>
          <w:sz w:val="22"/>
        </w:rPr>
        <w:t xml:space="preserve">Methane </w:t>
      </w:r>
      <w:r w:rsidR="009563B0" w:rsidRPr="000412A1">
        <w:rPr>
          <w:sz w:val="22"/>
        </w:rPr>
        <w:t>yield was increase</w:t>
      </w:r>
      <w:r w:rsidR="00336E8F" w:rsidRPr="000412A1">
        <w:rPr>
          <w:sz w:val="22"/>
        </w:rPr>
        <w:t>d</w:t>
      </w:r>
      <w:r w:rsidR="00905FF6" w:rsidRPr="000412A1">
        <w:rPr>
          <w:sz w:val="22"/>
        </w:rPr>
        <w:t xml:space="preserve"> </w:t>
      </w:r>
      <w:r w:rsidR="00DF1ADB" w:rsidRPr="000412A1">
        <w:rPr>
          <w:sz w:val="22"/>
        </w:rPr>
        <w:t xml:space="preserve">by </w:t>
      </w:r>
      <w:r w:rsidR="00905FF6" w:rsidRPr="000412A1">
        <w:rPr>
          <w:sz w:val="22"/>
        </w:rPr>
        <w:t>18%</w:t>
      </w:r>
      <w:r w:rsidR="009563B0" w:rsidRPr="000412A1">
        <w:rPr>
          <w:sz w:val="22"/>
        </w:rPr>
        <w:t xml:space="preserve"> as result</w:t>
      </w:r>
      <w:r w:rsidR="00336E8F" w:rsidRPr="000412A1">
        <w:rPr>
          <w:sz w:val="22"/>
        </w:rPr>
        <w:t xml:space="preserve"> of </w:t>
      </w:r>
      <w:proofErr w:type="spellStart"/>
      <w:r w:rsidR="00336E8F" w:rsidRPr="000412A1">
        <w:rPr>
          <w:sz w:val="22"/>
        </w:rPr>
        <w:t>pretreatment</w:t>
      </w:r>
      <w:proofErr w:type="spellEnd"/>
      <w:r w:rsidR="00905FF6" w:rsidRPr="000412A1">
        <w:rPr>
          <w:sz w:val="22"/>
        </w:rPr>
        <w:t xml:space="preserve"> </w:t>
      </w:r>
      <w:r w:rsidR="00F3718A" w:rsidRPr="000412A1">
        <w:rPr>
          <w:sz w:val="22"/>
        </w:rPr>
        <w:t xml:space="preserve">under </w:t>
      </w:r>
      <w:r w:rsidR="00905FF6" w:rsidRPr="000412A1">
        <w:rPr>
          <w:sz w:val="22"/>
        </w:rPr>
        <w:t>alkaline condition (T5)</w:t>
      </w:r>
      <w:r w:rsidR="00AA7664">
        <w:rPr>
          <w:sz w:val="22"/>
        </w:rPr>
        <w:t>,</w:t>
      </w:r>
      <w:r w:rsidR="00336E8F" w:rsidRPr="000412A1">
        <w:rPr>
          <w:sz w:val="22"/>
        </w:rPr>
        <w:t xml:space="preserve"> </w:t>
      </w:r>
      <w:r w:rsidR="00905FF6" w:rsidRPr="000412A1">
        <w:rPr>
          <w:sz w:val="22"/>
        </w:rPr>
        <w:t xml:space="preserve">although </w:t>
      </w:r>
      <w:r w:rsidR="00336E8F" w:rsidRPr="000412A1">
        <w:rPr>
          <w:sz w:val="22"/>
        </w:rPr>
        <w:t>biogas</w:t>
      </w:r>
      <w:r w:rsidR="00B064A7">
        <w:rPr>
          <w:sz w:val="22"/>
        </w:rPr>
        <w:t xml:space="preserve"> </w:t>
      </w:r>
      <w:r w:rsidR="00336E8F" w:rsidRPr="000412A1">
        <w:rPr>
          <w:sz w:val="22"/>
        </w:rPr>
        <w:t>production rate</w:t>
      </w:r>
      <w:r w:rsidR="00905FF6" w:rsidRPr="000412A1">
        <w:rPr>
          <w:sz w:val="22"/>
        </w:rPr>
        <w:t xml:space="preserve"> </w:t>
      </w:r>
      <w:r w:rsidR="00394751" w:rsidRPr="000412A1">
        <w:rPr>
          <w:sz w:val="22"/>
        </w:rPr>
        <w:t>was lower (10.36</w:t>
      </w:r>
      <w:r w:rsidR="001E7DCA" w:rsidRPr="000412A1">
        <w:rPr>
          <w:sz w:val="22"/>
        </w:rPr>
        <w:t xml:space="preserve"> </w:t>
      </w:r>
      <w:r w:rsidR="00394751" w:rsidRPr="000412A1">
        <w:rPr>
          <w:sz w:val="22"/>
        </w:rPr>
        <w:t>±</w:t>
      </w:r>
      <w:r w:rsidR="001E7DCA" w:rsidRPr="000412A1">
        <w:rPr>
          <w:sz w:val="22"/>
        </w:rPr>
        <w:t xml:space="preserve"> </w:t>
      </w:r>
      <w:r w:rsidR="00394751" w:rsidRPr="000412A1">
        <w:rPr>
          <w:sz w:val="22"/>
        </w:rPr>
        <w:t>1.89</w:t>
      </w:r>
      <w:r w:rsidR="00394751" w:rsidRPr="000412A1">
        <w:rPr>
          <w:color w:val="000000"/>
          <w:sz w:val="20"/>
          <w:szCs w:val="22"/>
          <w:lang w:eastAsia="es-ES"/>
        </w:rPr>
        <w:t xml:space="preserve"> </w:t>
      </w:r>
      <w:r w:rsidR="00394751" w:rsidRPr="000412A1">
        <w:rPr>
          <w:sz w:val="22"/>
        </w:rPr>
        <w:t>mL d</w:t>
      </w:r>
      <w:r w:rsidR="001E7DCA" w:rsidRPr="000412A1">
        <w:rPr>
          <w:sz w:val="22"/>
          <w:vertAlign w:val="superscript"/>
        </w:rPr>
        <w:t>–</w:t>
      </w:r>
      <w:r w:rsidR="00394751" w:rsidRPr="000412A1">
        <w:rPr>
          <w:b/>
          <w:sz w:val="22"/>
          <w:vertAlign w:val="superscript"/>
        </w:rPr>
        <w:t>1</w:t>
      </w:r>
      <w:r w:rsidR="00394751" w:rsidRPr="000412A1">
        <w:rPr>
          <w:sz w:val="22"/>
        </w:rPr>
        <w:t>) and the lag phase was higher (9.25</w:t>
      </w:r>
      <w:r w:rsidR="001E7DCA" w:rsidRPr="000412A1">
        <w:rPr>
          <w:sz w:val="22"/>
        </w:rPr>
        <w:t xml:space="preserve"> </w:t>
      </w:r>
      <w:r w:rsidR="00394751" w:rsidRPr="000412A1">
        <w:rPr>
          <w:sz w:val="22"/>
        </w:rPr>
        <w:t>±</w:t>
      </w:r>
      <w:r w:rsidR="001E7DCA" w:rsidRPr="000412A1">
        <w:rPr>
          <w:sz w:val="22"/>
        </w:rPr>
        <w:t xml:space="preserve"> </w:t>
      </w:r>
      <w:r w:rsidR="00394751" w:rsidRPr="000412A1">
        <w:rPr>
          <w:sz w:val="22"/>
        </w:rPr>
        <w:t xml:space="preserve">0.28 d) compared </w:t>
      </w:r>
      <w:r w:rsidR="00DF1ADB" w:rsidRPr="000412A1">
        <w:rPr>
          <w:sz w:val="22"/>
        </w:rPr>
        <w:t xml:space="preserve">to </w:t>
      </w:r>
      <w:r w:rsidR="00AA7664">
        <w:rPr>
          <w:sz w:val="22"/>
        </w:rPr>
        <w:t xml:space="preserve">those for </w:t>
      </w:r>
      <w:r w:rsidR="00DF1ADB" w:rsidRPr="000412A1">
        <w:rPr>
          <w:sz w:val="22"/>
        </w:rPr>
        <w:t xml:space="preserve">the </w:t>
      </w:r>
      <w:r w:rsidR="00394751" w:rsidRPr="000412A1">
        <w:rPr>
          <w:sz w:val="22"/>
        </w:rPr>
        <w:t>control (19.21</w:t>
      </w:r>
      <w:r w:rsidR="001E7DCA" w:rsidRPr="000412A1">
        <w:rPr>
          <w:sz w:val="22"/>
        </w:rPr>
        <w:t xml:space="preserve"> </w:t>
      </w:r>
      <w:r w:rsidR="00394751" w:rsidRPr="000412A1">
        <w:rPr>
          <w:sz w:val="22"/>
        </w:rPr>
        <w:t>±</w:t>
      </w:r>
      <w:r w:rsidR="001E7DCA" w:rsidRPr="000412A1">
        <w:rPr>
          <w:sz w:val="22"/>
        </w:rPr>
        <w:t xml:space="preserve"> </w:t>
      </w:r>
      <w:r w:rsidR="00394751" w:rsidRPr="000412A1">
        <w:rPr>
          <w:sz w:val="22"/>
        </w:rPr>
        <w:t>1.23 mL d</w:t>
      </w:r>
      <w:r w:rsidR="001E7DCA" w:rsidRPr="000412A1">
        <w:rPr>
          <w:sz w:val="22"/>
          <w:vertAlign w:val="superscript"/>
        </w:rPr>
        <w:t>–</w:t>
      </w:r>
      <w:r w:rsidR="00394751" w:rsidRPr="000412A1">
        <w:rPr>
          <w:b/>
          <w:sz w:val="22"/>
          <w:vertAlign w:val="superscript"/>
        </w:rPr>
        <w:t xml:space="preserve">1 </w:t>
      </w:r>
      <w:r w:rsidR="00F3718A" w:rsidRPr="000412A1">
        <w:rPr>
          <w:sz w:val="22"/>
        </w:rPr>
        <w:t>for gas</w:t>
      </w:r>
      <w:r w:rsidR="00F26285">
        <w:rPr>
          <w:sz w:val="22"/>
        </w:rPr>
        <w:t xml:space="preserve"> </w:t>
      </w:r>
      <w:r w:rsidR="00F3718A" w:rsidRPr="000412A1">
        <w:rPr>
          <w:sz w:val="22"/>
        </w:rPr>
        <w:t xml:space="preserve">production rate </w:t>
      </w:r>
      <w:r w:rsidR="00394751" w:rsidRPr="000412A1">
        <w:rPr>
          <w:sz w:val="22"/>
        </w:rPr>
        <w:t>and 5.44</w:t>
      </w:r>
      <w:r w:rsidR="001E7DCA" w:rsidRPr="000412A1">
        <w:rPr>
          <w:sz w:val="22"/>
        </w:rPr>
        <w:t xml:space="preserve"> </w:t>
      </w:r>
      <w:r w:rsidR="00394751" w:rsidRPr="000412A1">
        <w:rPr>
          <w:sz w:val="22"/>
        </w:rPr>
        <w:t>±</w:t>
      </w:r>
      <w:r w:rsidR="001E7DCA" w:rsidRPr="000412A1">
        <w:rPr>
          <w:sz w:val="22"/>
        </w:rPr>
        <w:t xml:space="preserve"> </w:t>
      </w:r>
      <w:r w:rsidR="00394751" w:rsidRPr="000412A1">
        <w:rPr>
          <w:sz w:val="22"/>
        </w:rPr>
        <w:t xml:space="preserve">0.21 </w:t>
      </w:r>
      <w:r w:rsidR="00F3718A" w:rsidRPr="000412A1">
        <w:rPr>
          <w:sz w:val="22"/>
        </w:rPr>
        <w:t>d for lag phase</w:t>
      </w:r>
      <w:r w:rsidR="00394751" w:rsidRPr="000412A1">
        <w:rPr>
          <w:sz w:val="22"/>
        </w:rPr>
        <w:t>).</w:t>
      </w:r>
      <w:r w:rsidR="00336E8F" w:rsidRPr="000412A1">
        <w:rPr>
          <w:sz w:val="22"/>
        </w:rPr>
        <w:t xml:space="preserve"> </w:t>
      </w:r>
    </w:p>
    <w:p w14:paraId="72DCFD34" w14:textId="03BA1BA4" w:rsidR="009F131E" w:rsidRPr="000412A1" w:rsidRDefault="00E77264" w:rsidP="00837642">
      <w:pPr>
        <w:spacing w:line="480" w:lineRule="auto"/>
        <w:rPr>
          <w:sz w:val="22"/>
          <w:szCs w:val="22"/>
        </w:rPr>
      </w:pPr>
      <w:r w:rsidRPr="000412A1">
        <w:rPr>
          <w:sz w:val="22"/>
        </w:rPr>
        <w:t xml:space="preserve"> </w:t>
      </w:r>
      <w:r w:rsidR="007D41F4" w:rsidRPr="000412A1">
        <w:rPr>
          <w:sz w:val="22"/>
        </w:rPr>
        <w:t>T</w:t>
      </w:r>
      <w:r w:rsidRPr="000412A1">
        <w:rPr>
          <w:sz w:val="22"/>
        </w:rPr>
        <w:t>he use of electr</w:t>
      </w:r>
      <w:r w:rsidR="001E7DCA" w:rsidRPr="000412A1">
        <w:rPr>
          <w:sz w:val="22"/>
        </w:rPr>
        <w:t>o-o</w:t>
      </w:r>
      <w:r w:rsidRPr="000412A1">
        <w:rPr>
          <w:sz w:val="22"/>
        </w:rPr>
        <w:t>xidation as</w:t>
      </w:r>
      <w:r w:rsidR="00AA7664">
        <w:rPr>
          <w:sz w:val="22"/>
        </w:rPr>
        <w:t xml:space="preserve"> the</w:t>
      </w:r>
      <w:r w:rsidRPr="000412A1">
        <w:rPr>
          <w:sz w:val="22"/>
        </w:rPr>
        <w:t xml:space="preserve"> post-treatment of digested WAS proved to have a significant effect </w:t>
      </w:r>
      <w:r w:rsidR="007D41F4" w:rsidRPr="000412A1">
        <w:rPr>
          <w:sz w:val="22"/>
        </w:rPr>
        <w:t>regarding</w:t>
      </w:r>
      <w:r w:rsidR="00883BB8" w:rsidRPr="000412A1">
        <w:rPr>
          <w:sz w:val="22"/>
        </w:rPr>
        <w:t xml:space="preserve"> </w:t>
      </w:r>
      <w:r w:rsidR="00336E8F" w:rsidRPr="000412A1">
        <w:rPr>
          <w:sz w:val="22"/>
        </w:rPr>
        <w:t>rheological behaviour</w:t>
      </w:r>
      <w:r w:rsidR="00C65E84" w:rsidRPr="000412A1">
        <w:rPr>
          <w:sz w:val="22"/>
        </w:rPr>
        <w:t>, particle</w:t>
      </w:r>
      <w:r w:rsidR="00F26285">
        <w:rPr>
          <w:sz w:val="22"/>
        </w:rPr>
        <w:t xml:space="preserve"> </w:t>
      </w:r>
      <w:r w:rsidR="00C65E84" w:rsidRPr="000412A1">
        <w:rPr>
          <w:sz w:val="22"/>
        </w:rPr>
        <w:t xml:space="preserve">size </w:t>
      </w:r>
      <w:r w:rsidR="00336E8F" w:rsidRPr="000412A1">
        <w:rPr>
          <w:sz w:val="22"/>
        </w:rPr>
        <w:t>reduction</w:t>
      </w:r>
      <w:r w:rsidR="00AA7664">
        <w:rPr>
          <w:sz w:val="22"/>
        </w:rPr>
        <w:t>,</w:t>
      </w:r>
      <w:r w:rsidR="00336E8F" w:rsidRPr="000412A1">
        <w:rPr>
          <w:sz w:val="22"/>
        </w:rPr>
        <w:t xml:space="preserve"> </w:t>
      </w:r>
      <w:r w:rsidR="00C65E84" w:rsidRPr="000412A1">
        <w:rPr>
          <w:sz w:val="22"/>
        </w:rPr>
        <w:t>and dewaterability</w:t>
      </w:r>
      <w:r w:rsidRPr="000412A1">
        <w:rPr>
          <w:sz w:val="22"/>
        </w:rPr>
        <w:t xml:space="preserve"> properties, increas</w:t>
      </w:r>
      <w:r w:rsidR="00883BB8" w:rsidRPr="000412A1">
        <w:rPr>
          <w:sz w:val="22"/>
        </w:rPr>
        <w:t>e in</w:t>
      </w:r>
      <w:r w:rsidRPr="000412A1">
        <w:rPr>
          <w:sz w:val="22"/>
        </w:rPr>
        <w:t xml:space="preserve"> specific surface area</w:t>
      </w:r>
      <w:r w:rsidR="00AA7664">
        <w:rPr>
          <w:sz w:val="22"/>
        </w:rPr>
        <w:t>,</w:t>
      </w:r>
      <w:r w:rsidRPr="000412A1">
        <w:rPr>
          <w:sz w:val="22"/>
        </w:rPr>
        <w:t xml:space="preserve"> and </w:t>
      </w:r>
      <w:r w:rsidR="00883BB8" w:rsidRPr="000412A1">
        <w:rPr>
          <w:sz w:val="22"/>
        </w:rPr>
        <w:t xml:space="preserve">improvement on characteristics such as </w:t>
      </w:r>
      <w:r w:rsidRPr="000412A1">
        <w:rPr>
          <w:sz w:val="22"/>
        </w:rPr>
        <w:t>capillary suction time (CST)</w:t>
      </w:r>
      <w:r w:rsidR="00324282" w:rsidRPr="000412A1">
        <w:rPr>
          <w:sz w:val="22"/>
        </w:rPr>
        <w:t xml:space="preserve"> and specific resistance to filtration (SRF). Future work will </w:t>
      </w:r>
      <w:r w:rsidR="007D41F4" w:rsidRPr="000412A1">
        <w:rPr>
          <w:sz w:val="22"/>
        </w:rPr>
        <w:t>focus on</w:t>
      </w:r>
      <w:r w:rsidR="00324282" w:rsidRPr="000412A1">
        <w:rPr>
          <w:sz w:val="22"/>
        </w:rPr>
        <w:t xml:space="preserve"> </w:t>
      </w:r>
      <w:r w:rsidR="007D41F4" w:rsidRPr="000412A1">
        <w:rPr>
          <w:sz w:val="22"/>
        </w:rPr>
        <w:t xml:space="preserve">evaluating </w:t>
      </w:r>
      <w:r w:rsidR="00324282" w:rsidRPr="000412A1">
        <w:rPr>
          <w:sz w:val="22"/>
        </w:rPr>
        <w:t>the benefits of these lat</w:t>
      </w:r>
      <w:r w:rsidR="00CD35B1" w:rsidRPr="000412A1">
        <w:rPr>
          <w:sz w:val="22"/>
        </w:rPr>
        <w:t>t</w:t>
      </w:r>
      <w:r w:rsidR="00324282" w:rsidRPr="000412A1">
        <w:rPr>
          <w:sz w:val="22"/>
        </w:rPr>
        <w:t xml:space="preserve">er characteristics and the effect on energy demand </w:t>
      </w:r>
      <w:r w:rsidR="00883BB8" w:rsidRPr="000412A1">
        <w:rPr>
          <w:sz w:val="22"/>
        </w:rPr>
        <w:t>i</w:t>
      </w:r>
      <w:r w:rsidR="00324282" w:rsidRPr="000412A1">
        <w:rPr>
          <w:sz w:val="22"/>
        </w:rPr>
        <w:t>n a WWTP</w:t>
      </w:r>
      <w:r w:rsidR="00FD7C26">
        <w:rPr>
          <w:sz w:val="22"/>
          <w:szCs w:val="22"/>
        </w:rPr>
        <w:t>.</w:t>
      </w:r>
    </w:p>
    <w:sectPr w:rsidR="009F131E" w:rsidRPr="000412A1" w:rsidSect="00123683">
      <w:footerReference w:type="default" r:id="rId16"/>
      <w:pgSz w:w="11906" w:h="16838"/>
      <w:pgMar w:top="1417" w:right="1701" w:bottom="1417" w:left="1701"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eas Kirkinis" w:date="2020-07-22T15:57:00Z" w:initials="AK">
    <w:p w14:paraId="470FCCA7" w14:textId="13F9D590" w:rsidR="009B760B" w:rsidRDefault="009B760B">
      <w:pPr>
        <w:pStyle w:val="Textocomentario"/>
      </w:pPr>
      <w:r>
        <w:rPr>
          <w:rStyle w:val="Refdecomentario"/>
        </w:rPr>
        <w:annotationRef/>
      </w:r>
      <w:r>
        <w:t>Please confirm if company name.</w:t>
      </w:r>
    </w:p>
  </w:comment>
  <w:comment w:id="4" w:author="Andreas Kirkinis" w:date="2020-07-22T16:04:00Z" w:initials="AK">
    <w:p w14:paraId="7F5E2E8C" w14:textId="49766922" w:rsidR="009B760B" w:rsidRDefault="009B760B">
      <w:pPr>
        <w:pStyle w:val="Textocomentario"/>
      </w:pPr>
      <w:r>
        <w:rPr>
          <w:rStyle w:val="Refdecomentario"/>
        </w:rPr>
        <w:annotationRef/>
      </w:r>
      <w:r>
        <w:t>Please confirm.</w:t>
      </w:r>
    </w:p>
  </w:comment>
  <w:comment w:id="5" w:author="Andreas Kirkinis" w:date="2020-07-22T16:18:00Z" w:initials="AK">
    <w:p w14:paraId="4F036AB4" w14:textId="6A2F314C" w:rsidR="009B760B" w:rsidRDefault="009B760B">
      <w:pPr>
        <w:pStyle w:val="Textocomentario"/>
      </w:pPr>
      <w:r>
        <w:rPr>
          <w:rStyle w:val="Refdecomentario"/>
        </w:rPr>
        <w:annotationRef/>
      </w:r>
      <w:r>
        <w:t>Please define if appropriate.</w:t>
      </w:r>
    </w:p>
  </w:comment>
  <w:comment w:id="8" w:author="Andreas Kirkinis" w:date="2020-07-22T15:12:00Z" w:initials="AK">
    <w:p w14:paraId="51B34BEC" w14:textId="3D0487A4" w:rsidR="009B760B" w:rsidRDefault="009B760B">
      <w:pPr>
        <w:pStyle w:val="Textocomentario"/>
      </w:pPr>
      <w:r>
        <w:rPr>
          <w:rStyle w:val="Refdecomentario"/>
        </w:rPr>
        <w:annotationRef/>
      </w:r>
      <w:r>
        <w:t>Please confirm.</w:t>
      </w:r>
    </w:p>
  </w:comment>
  <w:comment w:id="9" w:author="Andreas Kirkinis" w:date="2020-07-22T16:42:00Z" w:initials="AK">
    <w:p w14:paraId="4DED8D53" w14:textId="45605E02" w:rsidR="00FD7C26" w:rsidRDefault="00FD7C26">
      <w:pPr>
        <w:pStyle w:val="Textocomentario"/>
      </w:pPr>
      <w:r>
        <w:rPr>
          <w:rStyle w:val="Refdecomentario"/>
        </w:rPr>
        <w:annotationRef/>
      </w:r>
      <w:r>
        <w:t>Please confirm that meaning has been retained.</w:t>
      </w:r>
    </w:p>
  </w:comment>
  <w:comment w:id="11" w:author="Andreas Kirkinis" w:date="2020-07-22T15:26:00Z" w:initials="AK">
    <w:p w14:paraId="50549D1D" w14:textId="15B8DB60" w:rsidR="009B760B" w:rsidRDefault="009B760B">
      <w:pPr>
        <w:pStyle w:val="Textocomentario"/>
      </w:pPr>
      <w:r>
        <w:rPr>
          <w:rStyle w:val="Refdecomentario"/>
        </w:rPr>
        <w:annotationRef/>
      </w:r>
      <w:r>
        <w:t>Please confirm that meaning has been retained.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0FCCA7" w15:done="0"/>
  <w15:commentEx w15:paraId="7F5E2E8C" w15:done="0"/>
  <w15:commentEx w15:paraId="4F036AB4" w15:done="0"/>
  <w15:commentEx w15:paraId="51B34BEC" w15:done="0"/>
  <w15:commentEx w15:paraId="4DED8D53" w15:done="0"/>
  <w15:commentEx w15:paraId="50549D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E066" w16cex:dateUtc="2020-07-22T13:57:00Z"/>
  <w16cex:commentExtensible w16cex:durableId="22C2E226" w16cex:dateUtc="2020-07-22T14:04:00Z"/>
  <w16cex:commentExtensible w16cex:durableId="22C2E53D" w16cex:dateUtc="2020-07-22T14:18:00Z"/>
  <w16cex:commentExtensible w16cex:durableId="22C2D5FB" w16cex:dateUtc="2020-07-22T13:12:00Z"/>
  <w16cex:commentExtensible w16cex:durableId="22C2EAE1" w16cex:dateUtc="2020-07-22T14:42:00Z"/>
  <w16cex:commentExtensible w16cex:durableId="22C2D918" w16cex:dateUtc="2020-07-22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0FCCA7" w16cid:durableId="22C2E066"/>
  <w16cid:commentId w16cid:paraId="7F5E2E8C" w16cid:durableId="22C2E226"/>
  <w16cid:commentId w16cid:paraId="4F036AB4" w16cid:durableId="22C2E53D"/>
  <w16cid:commentId w16cid:paraId="51B34BEC" w16cid:durableId="22C2D5FB"/>
  <w16cid:commentId w16cid:paraId="4DED8D53" w16cid:durableId="22C2EAE1"/>
  <w16cid:commentId w16cid:paraId="50549D1D" w16cid:durableId="22C2D9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23C11" w14:textId="77777777" w:rsidR="00065DDB" w:rsidRDefault="00065DDB">
      <w:r>
        <w:separator/>
      </w:r>
    </w:p>
  </w:endnote>
  <w:endnote w:type="continuationSeparator" w:id="0">
    <w:p w14:paraId="6279A4C1" w14:textId="77777777" w:rsidR="00065DDB" w:rsidRDefault="0006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94146"/>
      <w:docPartObj>
        <w:docPartGallery w:val="Page Numbers (Bottom of Page)"/>
        <w:docPartUnique/>
      </w:docPartObj>
    </w:sdtPr>
    <w:sdtEndPr/>
    <w:sdtContent>
      <w:p w14:paraId="0081311A" w14:textId="36672C1F" w:rsidR="009B760B" w:rsidRDefault="009B760B">
        <w:pPr>
          <w:pStyle w:val="Piedepgina"/>
          <w:jc w:val="right"/>
        </w:pPr>
        <w:r>
          <w:fldChar w:fldCharType="begin"/>
        </w:r>
        <w:r>
          <w:instrText>PAGE   \* MERGEFORMAT</w:instrText>
        </w:r>
        <w:r>
          <w:fldChar w:fldCharType="separate"/>
        </w:r>
        <w:r w:rsidR="007D499C" w:rsidRPr="007D499C">
          <w:rPr>
            <w:noProof/>
            <w:lang w:val="es-ES"/>
          </w:rPr>
          <w:t>1</w:t>
        </w:r>
        <w:r>
          <w:fldChar w:fldCharType="end"/>
        </w:r>
      </w:p>
    </w:sdtContent>
  </w:sdt>
  <w:p w14:paraId="7833E855" w14:textId="77777777" w:rsidR="009B760B" w:rsidRDefault="009B760B" w:rsidP="009F131E">
    <w:pPr>
      <w:autoSpaceDE w:val="0"/>
      <w:autoSpaceDN w:val="0"/>
      <w:adjustRightInd w:val="0"/>
      <w:jc w:val="both"/>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A4C22" w14:textId="77777777" w:rsidR="00065DDB" w:rsidRDefault="00065DDB">
      <w:r>
        <w:separator/>
      </w:r>
    </w:p>
  </w:footnote>
  <w:footnote w:type="continuationSeparator" w:id="0">
    <w:p w14:paraId="433A4B7C" w14:textId="77777777" w:rsidR="00065DDB" w:rsidRDefault="00065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7A53"/>
    <w:multiLevelType w:val="hybridMultilevel"/>
    <w:tmpl w:val="AF98115A"/>
    <w:lvl w:ilvl="0" w:tplc="1A92AFA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9511DEE"/>
    <w:multiLevelType w:val="multilevel"/>
    <w:tmpl w:val="0F8E41BE"/>
    <w:lvl w:ilvl="0">
      <w:start w:val="1"/>
      <w:numFmt w:val="decimal"/>
      <w:pStyle w:val="Ttulo1"/>
      <w:lvlText w:val="%1."/>
      <w:lvlJc w:val="left"/>
      <w:pPr>
        <w:ind w:left="720" w:hanging="360"/>
      </w:pPr>
    </w:lvl>
    <w:lvl w:ilvl="1">
      <w:start w:val="1"/>
      <w:numFmt w:val="decimal"/>
      <w:pStyle w:val="Ttulo2"/>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E5E508A"/>
    <w:multiLevelType w:val="multilevel"/>
    <w:tmpl w:val="4DB46A1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FED2042"/>
    <w:multiLevelType w:val="hybridMultilevel"/>
    <w:tmpl w:val="BC0A6C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424BFB"/>
    <w:multiLevelType w:val="hybridMultilevel"/>
    <w:tmpl w:val="4BBAA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s Kirkinis">
    <w15:presenceInfo w15:providerId="Windows Live" w15:userId="86029bc8d79d69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3NDQyNDMzMDIyNDRU0lEKTi0uzszPAykwtKgFAKZg+DgtAAAA"/>
  </w:docVars>
  <w:rsids>
    <w:rsidRoot w:val="00E50B19"/>
    <w:rsid w:val="00001FC0"/>
    <w:rsid w:val="000027C7"/>
    <w:rsid w:val="00003AF0"/>
    <w:rsid w:val="00003CA9"/>
    <w:rsid w:val="000050F3"/>
    <w:rsid w:val="00006B02"/>
    <w:rsid w:val="000119AB"/>
    <w:rsid w:val="00011C95"/>
    <w:rsid w:val="00012BD5"/>
    <w:rsid w:val="00013ABD"/>
    <w:rsid w:val="00014FC6"/>
    <w:rsid w:val="00017AB6"/>
    <w:rsid w:val="000201D8"/>
    <w:rsid w:val="00020CD2"/>
    <w:rsid w:val="00021CAB"/>
    <w:rsid w:val="00022670"/>
    <w:rsid w:val="00024A85"/>
    <w:rsid w:val="000252E2"/>
    <w:rsid w:val="000276D1"/>
    <w:rsid w:val="0002798E"/>
    <w:rsid w:val="00027C2C"/>
    <w:rsid w:val="00027C3D"/>
    <w:rsid w:val="000412A1"/>
    <w:rsid w:val="000440EA"/>
    <w:rsid w:val="000443A9"/>
    <w:rsid w:val="00045EBE"/>
    <w:rsid w:val="000543C8"/>
    <w:rsid w:val="000572E6"/>
    <w:rsid w:val="00065DDB"/>
    <w:rsid w:val="00066FE9"/>
    <w:rsid w:val="00067A1C"/>
    <w:rsid w:val="00074671"/>
    <w:rsid w:val="00077C3A"/>
    <w:rsid w:val="0008019B"/>
    <w:rsid w:val="000809FC"/>
    <w:rsid w:val="000822B5"/>
    <w:rsid w:val="0008299A"/>
    <w:rsid w:val="00083369"/>
    <w:rsid w:val="00083794"/>
    <w:rsid w:val="00083FC1"/>
    <w:rsid w:val="00090E97"/>
    <w:rsid w:val="000948BC"/>
    <w:rsid w:val="00095C4D"/>
    <w:rsid w:val="000A02EC"/>
    <w:rsid w:val="000A08FA"/>
    <w:rsid w:val="000A1855"/>
    <w:rsid w:val="000A1880"/>
    <w:rsid w:val="000A4770"/>
    <w:rsid w:val="000A496A"/>
    <w:rsid w:val="000A536E"/>
    <w:rsid w:val="000A68D7"/>
    <w:rsid w:val="000B0085"/>
    <w:rsid w:val="000B187C"/>
    <w:rsid w:val="000B28F4"/>
    <w:rsid w:val="000B5342"/>
    <w:rsid w:val="000B7A8C"/>
    <w:rsid w:val="000C1EFE"/>
    <w:rsid w:val="000C38E6"/>
    <w:rsid w:val="000C5411"/>
    <w:rsid w:val="000C5DDB"/>
    <w:rsid w:val="000C635C"/>
    <w:rsid w:val="000C6AC5"/>
    <w:rsid w:val="000C7071"/>
    <w:rsid w:val="000C7300"/>
    <w:rsid w:val="000C75E5"/>
    <w:rsid w:val="000D0A59"/>
    <w:rsid w:val="000D2030"/>
    <w:rsid w:val="000D47AE"/>
    <w:rsid w:val="000D4D9A"/>
    <w:rsid w:val="000D6601"/>
    <w:rsid w:val="000D7537"/>
    <w:rsid w:val="000D7B02"/>
    <w:rsid w:val="000F033A"/>
    <w:rsid w:val="000F0BC3"/>
    <w:rsid w:val="000F3E8F"/>
    <w:rsid w:val="000F48D1"/>
    <w:rsid w:val="000F774E"/>
    <w:rsid w:val="001006BF"/>
    <w:rsid w:val="00101E91"/>
    <w:rsid w:val="00103854"/>
    <w:rsid w:val="001049F6"/>
    <w:rsid w:val="001060F1"/>
    <w:rsid w:val="0010682C"/>
    <w:rsid w:val="00107483"/>
    <w:rsid w:val="00107AF5"/>
    <w:rsid w:val="001101CB"/>
    <w:rsid w:val="00111EE2"/>
    <w:rsid w:val="00113FAF"/>
    <w:rsid w:val="001143DC"/>
    <w:rsid w:val="001163B8"/>
    <w:rsid w:val="00117105"/>
    <w:rsid w:val="00117288"/>
    <w:rsid w:val="00117E70"/>
    <w:rsid w:val="001201C0"/>
    <w:rsid w:val="0012077A"/>
    <w:rsid w:val="00123683"/>
    <w:rsid w:val="00123A2B"/>
    <w:rsid w:val="00126CE0"/>
    <w:rsid w:val="00127130"/>
    <w:rsid w:val="00127858"/>
    <w:rsid w:val="00130842"/>
    <w:rsid w:val="00131F93"/>
    <w:rsid w:val="00134C1A"/>
    <w:rsid w:val="0013535B"/>
    <w:rsid w:val="0013621D"/>
    <w:rsid w:val="00140B05"/>
    <w:rsid w:val="00141C55"/>
    <w:rsid w:val="00144FE4"/>
    <w:rsid w:val="001455FD"/>
    <w:rsid w:val="00147C18"/>
    <w:rsid w:val="00152A24"/>
    <w:rsid w:val="00153AA4"/>
    <w:rsid w:val="00153E7D"/>
    <w:rsid w:val="001550C6"/>
    <w:rsid w:val="001574F2"/>
    <w:rsid w:val="00162EB0"/>
    <w:rsid w:val="00167301"/>
    <w:rsid w:val="00167AC3"/>
    <w:rsid w:val="0017135A"/>
    <w:rsid w:val="00172281"/>
    <w:rsid w:val="00172B1B"/>
    <w:rsid w:val="00173A9C"/>
    <w:rsid w:val="0017419F"/>
    <w:rsid w:val="00175162"/>
    <w:rsid w:val="00175205"/>
    <w:rsid w:val="00175F65"/>
    <w:rsid w:val="0018047C"/>
    <w:rsid w:val="001808A0"/>
    <w:rsid w:val="00181357"/>
    <w:rsid w:val="0018292F"/>
    <w:rsid w:val="00184B1C"/>
    <w:rsid w:val="00185AC8"/>
    <w:rsid w:val="00187E50"/>
    <w:rsid w:val="00193009"/>
    <w:rsid w:val="00193C08"/>
    <w:rsid w:val="00194996"/>
    <w:rsid w:val="001966CE"/>
    <w:rsid w:val="00197764"/>
    <w:rsid w:val="001A0828"/>
    <w:rsid w:val="001A1FE2"/>
    <w:rsid w:val="001A2C71"/>
    <w:rsid w:val="001A5A2D"/>
    <w:rsid w:val="001A74A4"/>
    <w:rsid w:val="001B0A13"/>
    <w:rsid w:val="001B122B"/>
    <w:rsid w:val="001B1A81"/>
    <w:rsid w:val="001B2937"/>
    <w:rsid w:val="001B4BB3"/>
    <w:rsid w:val="001C5517"/>
    <w:rsid w:val="001C5859"/>
    <w:rsid w:val="001D1BC2"/>
    <w:rsid w:val="001D1C0B"/>
    <w:rsid w:val="001D2EF1"/>
    <w:rsid w:val="001D68DC"/>
    <w:rsid w:val="001D70A1"/>
    <w:rsid w:val="001D7A92"/>
    <w:rsid w:val="001D7BE8"/>
    <w:rsid w:val="001E0387"/>
    <w:rsid w:val="001E2506"/>
    <w:rsid w:val="001E592B"/>
    <w:rsid w:val="001E5F5E"/>
    <w:rsid w:val="001E7DCA"/>
    <w:rsid w:val="001F1052"/>
    <w:rsid w:val="001F59B7"/>
    <w:rsid w:val="001F70CA"/>
    <w:rsid w:val="00202225"/>
    <w:rsid w:val="00203457"/>
    <w:rsid w:val="002048AB"/>
    <w:rsid w:val="00204F63"/>
    <w:rsid w:val="00205AF4"/>
    <w:rsid w:val="0021240F"/>
    <w:rsid w:val="00213C5F"/>
    <w:rsid w:val="00214BEA"/>
    <w:rsid w:val="00215A1C"/>
    <w:rsid w:val="00215F7C"/>
    <w:rsid w:val="00217D8D"/>
    <w:rsid w:val="002209B4"/>
    <w:rsid w:val="0022682F"/>
    <w:rsid w:val="002269DF"/>
    <w:rsid w:val="00226E27"/>
    <w:rsid w:val="0023291E"/>
    <w:rsid w:val="00233AF0"/>
    <w:rsid w:val="00235AAC"/>
    <w:rsid w:val="00240F8B"/>
    <w:rsid w:val="00241690"/>
    <w:rsid w:val="00242F18"/>
    <w:rsid w:val="0024337F"/>
    <w:rsid w:val="0024612E"/>
    <w:rsid w:val="00246710"/>
    <w:rsid w:val="00246BB5"/>
    <w:rsid w:val="00250002"/>
    <w:rsid w:val="002530B8"/>
    <w:rsid w:val="00254537"/>
    <w:rsid w:val="00254624"/>
    <w:rsid w:val="00256692"/>
    <w:rsid w:val="00256752"/>
    <w:rsid w:val="00257FDD"/>
    <w:rsid w:val="00260F40"/>
    <w:rsid w:val="0026122C"/>
    <w:rsid w:val="002651F6"/>
    <w:rsid w:val="00265EB1"/>
    <w:rsid w:val="00266EF7"/>
    <w:rsid w:val="00267CFD"/>
    <w:rsid w:val="00270FF6"/>
    <w:rsid w:val="0027131A"/>
    <w:rsid w:val="00272068"/>
    <w:rsid w:val="00274EAC"/>
    <w:rsid w:val="00274EEE"/>
    <w:rsid w:val="002751DC"/>
    <w:rsid w:val="00282509"/>
    <w:rsid w:val="00283589"/>
    <w:rsid w:val="002842F0"/>
    <w:rsid w:val="002856F7"/>
    <w:rsid w:val="0028758A"/>
    <w:rsid w:val="00287E12"/>
    <w:rsid w:val="002936F8"/>
    <w:rsid w:val="00293A66"/>
    <w:rsid w:val="00294455"/>
    <w:rsid w:val="00294833"/>
    <w:rsid w:val="002A319C"/>
    <w:rsid w:val="002A48DE"/>
    <w:rsid w:val="002A6DC9"/>
    <w:rsid w:val="002B0708"/>
    <w:rsid w:val="002B08E7"/>
    <w:rsid w:val="002C270E"/>
    <w:rsid w:val="002C46E2"/>
    <w:rsid w:val="002C5077"/>
    <w:rsid w:val="002D46FA"/>
    <w:rsid w:val="002D5AD8"/>
    <w:rsid w:val="002D5F9A"/>
    <w:rsid w:val="002E1B92"/>
    <w:rsid w:val="002E2A01"/>
    <w:rsid w:val="002E5B67"/>
    <w:rsid w:val="002E7031"/>
    <w:rsid w:val="002F1467"/>
    <w:rsid w:val="00302447"/>
    <w:rsid w:val="003041C8"/>
    <w:rsid w:val="003044C1"/>
    <w:rsid w:val="003115BA"/>
    <w:rsid w:val="00314947"/>
    <w:rsid w:val="00315332"/>
    <w:rsid w:val="003178AF"/>
    <w:rsid w:val="00321410"/>
    <w:rsid w:val="003219A9"/>
    <w:rsid w:val="00323AED"/>
    <w:rsid w:val="00324134"/>
    <w:rsid w:val="00324282"/>
    <w:rsid w:val="00326951"/>
    <w:rsid w:val="00331BB6"/>
    <w:rsid w:val="00336E8F"/>
    <w:rsid w:val="00341989"/>
    <w:rsid w:val="00342318"/>
    <w:rsid w:val="003459B4"/>
    <w:rsid w:val="00345CCA"/>
    <w:rsid w:val="003465F0"/>
    <w:rsid w:val="00350748"/>
    <w:rsid w:val="00351FDA"/>
    <w:rsid w:val="00355A36"/>
    <w:rsid w:val="00357257"/>
    <w:rsid w:val="00361A45"/>
    <w:rsid w:val="0036247A"/>
    <w:rsid w:val="00363F4E"/>
    <w:rsid w:val="00364892"/>
    <w:rsid w:val="0037026D"/>
    <w:rsid w:val="00370908"/>
    <w:rsid w:val="00373D0F"/>
    <w:rsid w:val="00374E3D"/>
    <w:rsid w:val="0037723D"/>
    <w:rsid w:val="003802A4"/>
    <w:rsid w:val="003803F4"/>
    <w:rsid w:val="00380487"/>
    <w:rsid w:val="00382DCE"/>
    <w:rsid w:val="003832A9"/>
    <w:rsid w:val="00383B33"/>
    <w:rsid w:val="003918A8"/>
    <w:rsid w:val="003918D0"/>
    <w:rsid w:val="003927EC"/>
    <w:rsid w:val="00394751"/>
    <w:rsid w:val="00396C2F"/>
    <w:rsid w:val="003A100A"/>
    <w:rsid w:val="003A114E"/>
    <w:rsid w:val="003A12B2"/>
    <w:rsid w:val="003A19E8"/>
    <w:rsid w:val="003A2606"/>
    <w:rsid w:val="003A5293"/>
    <w:rsid w:val="003A57F9"/>
    <w:rsid w:val="003A6C00"/>
    <w:rsid w:val="003A71A8"/>
    <w:rsid w:val="003B26BE"/>
    <w:rsid w:val="003B2C67"/>
    <w:rsid w:val="003B61F4"/>
    <w:rsid w:val="003C0A67"/>
    <w:rsid w:val="003C1125"/>
    <w:rsid w:val="003C318E"/>
    <w:rsid w:val="003C3C2C"/>
    <w:rsid w:val="003D2312"/>
    <w:rsid w:val="003D3379"/>
    <w:rsid w:val="003D5867"/>
    <w:rsid w:val="003D701B"/>
    <w:rsid w:val="003E00E1"/>
    <w:rsid w:val="003E053D"/>
    <w:rsid w:val="003E1379"/>
    <w:rsid w:val="003E212A"/>
    <w:rsid w:val="003E39F3"/>
    <w:rsid w:val="003E598E"/>
    <w:rsid w:val="003F03FD"/>
    <w:rsid w:val="003F0E9F"/>
    <w:rsid w:val="003F1DAF"/>
    <w:rsid w:val="003F2E61"/>
    <w:rsid w:val="003F4753"/>
    <w:rsid w:val="003F7417"/>
    <w:rsid w:val="00400527"/>
    <w:rsid w:val="004014DF"/>
    <w:rsid w:val="004027CB"/>
    <w:rsid w:val="00403422"/>
    <w:rsid w:val="004040F4"/>
    <w:rsid w:val="00414A8A"/>
    <w:rsid w:val="00414B2B"/>
    <w:rsid w:val="00415029"/>
    <w:rsid w:val="0041573B"/>
    <w:rsid w:val="00420135"/>
    <w:rsid w:val="00421B59"/>
    <w:rsid w:val="00422FFD"/>
    <w:rsid w:val="00423764"/>
    <w:rsid w:val="00423EA2"/>
    <w:rsid w:val="00423F2C"/>
    <w:rsid w:val="0042757D"/>
    <w:rsid w:val="004300BF"/>
    <w:rsid w:val="0043207D"/>
    <w:rsid w:val="00435881"/>
    <w:rsid w:val="004364F7"/>
    <w:rsid w:val="004365E5"/>
    <w:rsid w:val="00436842"/>
    <w:rsid w:val="00437603"/>
    <w:rsid w:val="00440FFD"/>
    <w:rsid w:val="00443A7A"/>
    <w:rsid w:val="004452C6"/>
    <w:rsid w:val="00445737"/>
    <w:rsid w:val="00446C53"/>
    <w:rsid w:val="00453308"/>
    <w:rsid w:val="00454A0F"/>
    <w:rsid w:val="00454BD5"/>
    <w:rsid w:val="00464D0E"/>
    <w:rsid w:val="00465EF9"/>
    <w:rsid w:val="00466553"/>
    <w:rsid w:val="00471A69"/>
    <w:rsid w:val="00472322"/>
    <w:rsid w:val="004726FD"/>
    <w:rsid w:val="00472A73"/>
    <w:rsid w:val="0047426C"/>
    <w:rsid w:val="004774EE"/>
    <w:rsid w:val="004808B9"/>
    <w:rsid w:val="0048406F"/>
    <w:rsid w:val="00484709"/>
    <w:rsid w:val="004908F5"/>
    <w:rsid w:val="00490A56"/>
    <w:rsid w:val="00490AC3"/>
    <w:rsid w:val="00492227"/>
    <w:rsid w:val="004937C5"/>
    <w:rsid w:val="00494BEA"/>
    <w:rsid w:val="004964CD"/>
    <w:rsid w:val="004969C7"/>
    <w:rsid w:val="004A034A"/>
    <w:rsid w:val="004A0755"/>
    <w:rsid w:val="004A0DCE"/>
    <w:rsid w:val="004A7152"/>
    <w:rsid w:val="004A74ED"/>
    <w:rsid w:val="004B244C"/>
    <w:rsid w:val="004B4D9C"/>
    <w:rsid w:val="004B56BE"/>
    <w:rsid w:val="004B6B56"/>
    <w:rsid w:val="004C1444"/>
    <w:rsid w:val="004C170C"/>
    <w:rsid w:val="004C6E78"/>
    <w:rsid w:val="004D00CF"/>
    <w:rsid w:val="004D09DD"/>
    <w:rsid w:val="004D3889"/>
    <w:rsid w:val="004D3EFF"/>
    <w:rsid w:val="004D7D53"/>
    <w:rsid w:val="004E0795"/>
    <w:rsid w:val="004E28DF"/>
    <w:rsid w:val="004E5C17"/>
    <w:rsid w:val="004F0E33"/>
    <w:rsid w:val="004F2D10"/>
    <w:rsid w:val="004F33EA"/>
    <w:rsid w:val="004F4E8F"/>
    <w:rsid w:val="005056CA"/>
    <w:rsid w:val="00510630"/>
    <w:rsid w:val="005108DE"/>
    <w:rsid w:val="00517088"/>
    <w:rsid w:val="005224B0"/>
    <w:rsid w:val="00524996"/>
    <w:rsid w:val="00524DAF"/>
    <w:rsid w:val="005250FC"/>
    <w:rsid w:val="005252DB"/>
    <w:rsid w:val="005268A8"/>
    <w:rsid w:val="0052705D"/>
    <w:rsid w:val="0052732F"/>
    <w:rsid w:val="00527A9F"/>
    <w:rsid w:val="00532946"/>
    <w:rsid w:val="00535BC0"/>
    <w:rsid w:val="00535BD4"/>
    <w:rsid w:val="0053604F"/>
    <w:rsid w:val="0053731D"/>
    <w:rsid w:val="0054067C"/>
    <w:rsid w:val="0054119D"/>
    <w:rsid w:val="005412C5"/>
    <w:rsid w:val="005426A2"/>
    <w:rsid w:val="00546C39"/>
    <w:rsid w:val="0055025B"/>
    <w:rsid w:val="00551DF9"/>
    <w:rsid w:val="00555F84"/>
    <w:rsid w:val="00557A73"/>
    <w:rsid w:val="00560703"/>
    <w:rsid w:val="00560AA7"/>
    <w:rsid w:val="00562CBB"/>
    <w:rsid w:val="005657C3"/>
    <w:rsid w:val="0056621D"/>
    <w:rsid w:val="00576823"/>
    <w:rsid w:val="00582281"/>
    <w:rsid w:val="0058286A"/>
    <w:rsid w:val="00585D5F"/>
    <w:rsid w:val="00586EDE"/>
    <w:rsid w:val="00587141"/>
    <w:rsid w:val="00587F51"/>
    <w:rsid w:val="0059046E"/>
    <w:rsid w:val="0059093B"/>
    <w:rsid w:val="0059128A"/>
    <w:rsid w:val="00595532"/>
    <w:rsid w:val="005A35F2"/>
    <w:rsid w:val="005A440B"/>
    <w:rsid w:val="005A69D1"/>
    <w:rsid w:val="005B3406"/>
    <w:rsid w:val="005B341B"/>
    <w:rsid w:val="005B5708"/>
    <w:rsid w:val="005B6AB9"/>
    <w:rsid w:val="005B7F0E"/>
    <w:rsid w:val="005C10F8"/>
    <w:rsid w:val="005C4A5E"/>
    <w:rsid w:val="005C6A4A"/>
    <w:rsid w:val="005D3939"/>
    <w:rsid w:val="005D397C"/>
    <w:rsid w:val="005D3F2F"/>
    <w:rsid w:val="005D72A3"/>
    <w:rsid w:val="005D7A1A"/>
    <w:rsid w:val="005E0413"/>
    <w:rsid w:val="005E2CFE"/>
    <w:rsid w:val="005E40CB"/>
    <w:rsid w:val="005E53F8"/>
    <w:rsid w:val="005E6378"/>
    <w:rsid w:val="005E72C5"/>
    <w:rsid w:val="005E75E8"/>
    <w:rsid w:val="005F026B"/>
    <w:rsid w:val="005F2295"/>
    <w:rsid w:val="005F28BE"/>
    <w:rsid w:val="005F2E5A"/>
    <w:rsid w:val="005F3545"/>
    <w:rsid w:val="005F5DC4"/>
    <w:rsid w:val="005F6D24"/>
    <w:rsid w:val="00601543"/>
    <w:rsid w:val="00602BB7"/>
    <w:rsid w:val="00602E66"/>
    <w:rsid w:val="00603A66"/>
    <w:rsid w:val="0060432F"/>
    <w:rsid w:val="00605F66"/>
    <w:rsid w:val="00606FEA"/>
    <w:rsid w:val="00610335"/>
    <w:rsid w:val="00612FD3"/>
    <w:rsid w:val="00613C88"/>
    <w:rsid w:val="00614FB0"/>
    <w:rsid w:val="006157D2"/>
    <w:rsid w:val="00617238"/>
    <w:rsid w:val="0061730C"/>
    <w:rsid w:val="00621FF8"/>
    <w:rsid w:val="00626956"/>
    <w:rsid w:val="006307E9"/>
    <w:rsid w:val="00630CA2"/>
    <w:rsid w:val="00630FF5"/>
    <w:rsid w:val="006344B9"/>
    <w:rsid w:val="00642ED7"/>
    <w:rsid w:val="00643B08"/>
    <w:rsid w:val="0064498D"/>
    <w:rsid w:val="0064661E"/>
    <w:rsid w:val="00651F96"/>
    <w:rsid w:val="006538F0"/>
    <w:rsid w:val="00660215"/>
    <w:rsid w:val="0066069A"/>
    <w:rsid w:val="00665B10"/>
    <w:rsid w:val="00670FD7"/>
    <w:rsid w:val="006767E4"/>
    <w:rsid w:val="00676C11"/>
    <w:rsid w:val="006810B9"/>
    <w:rsid w:val="006829CA"/>
    <w:rsid w:val="00683E0C"/>
    <w:rsid w:val="00685FF2"/>
    <w:rsid w:val="00691A79"/>
    <w:rsid w:val="00692544"/>
    <w:rsid w:val="00693A3D"/>
    <w:rsid w:val="00695D9F"/>
    <w:rsid w:val="0069654E"/>
    <w:rsid w:val="00696D59"/>
    <w:rsid w:val="00697EE5"/>
    <w:rsid w:val="006A0DF0"/>
    <w:rsid w:val="006A34CF"/>
    <w:rsid w:val="006A44B9"/>
    <w:rsid w:val="006A64BB"/>
    <w:rsid w:val="006A64FE"/>
    <w:rsid w:val="006A74BC"/>
    <w:rsid w:val="006B3E1F"/>
    <w:rsid w:val="006B57CF"/>
    <w:rsid w:val="006B65D6"/>
    <w:rsid w:val="006B69D9"/>
    <w:rsid w:val="006B7761"/>
    <w:rsid w:val="006C10A9"/>
    <w:rsid w:val="006C1142"/>
    <w:rsid w:val="006C59AD"/>
    <w:rsid w:val="006D0B45"/>
    <w:rsid w:val="006D1BFF"/>
    <w:rsid w:val="006D1EB3"/>
    <w:rsid w:val="006D26C2"/>
    <w:rsid w:val="006D2E4B"/>
    <w:rsid w:val="006D31EA"/>
    <w:rsid w:val="006D4136"/>
    <w:rsid w:val="006D4D54"/>
    <w:rsid w:val="006E0DF1"/>
    <w:rsid w:val="006E122B"/>
    <w:rsid w:val="006E49B2"/>
    <w:rsid w:val="006F1865"/>
    <w:rsid w:val="006F1CA3"/>
    <w:rsid w:val="006F2DF8"/>
    <w:rsid w:val="006F461A"/>
    <w:rsid w:val="006F722A"/>
    <w:rsid w:val="006F7363"/>
    <w:rsid w:val="006F7A26"/>
    <w:rsid w:val="00700794"/>
    <w:rsid w:val="007046F9"/>
    <w:rsid w:val="00711BFD"/>
    <w:rsid w:val="007148AC"/>
    <w:rsid w:val="00714990"/>
    <w:rsid w:val="00716845"/>
    <w:rsid w:val="00717E70"/>
    <w:rsid w:val="00723136"/>
    <w:rsid w:val="00723214"/>
    <w:rsid w:val="00730AE4"/>
    <w:rsid w:val="00740310"/>
    <w:rsid w:val="00744BD0"/>
    <w:rsid w:val="00747132"/>
    <w:rsid w:val="007548E7"/>
    <w:rsid w:val="00755C5C"/>
    <w:rsid w:val="00760BD2"/>
    <w:rsid w:val="0076370E"/>
    <w:rsid w:val="00765C4A"/>
    <w:rsid w:val="00772F4A"/>
    <w:rsid w:val="00774C8E"/>
    <w:rsid w:val="00775303"/>
    <w:rsid w:val="00776A01"/>
    <w:rsid w:val="007774E5"/>
    <w:rsid w:val="0078319D"/>
    <w:rsid w:val="00784DFC"/>
    <w:rsid w:val="00785858"/>
    <w:rsid w:val="007866C4"/>
    <w:rsid w:val="00786F8B"/>
    <w:rsid w:val="00791EA4"/>
    <w:rsid w:val="00796715"/>
    <w:rsid w:val="007A247D"/>
    <w:rsid w:val="007A5506"/>
    <w:rsid w:val="007A59B1"/>
    <w:rsid w:val="007B039B"/>
    <w:rsid w:val="007B1571"/>
    <w:rsid w:val="007B1838"/>
    <w:rsid w:val="007B2182"/>
    <w:rsid w:val="007B2C96"/>
    <w:rsid w:val="007B492B"/>
    <w:rsid w:val="007B5539"/>
    <w:rsid w:val="007C74AB"/>
    <w:rsid w:val="007D06C5"/>
    <w:rsid w:val="007D11E8"/>
    <w:rsid w:val="007D2DA4"/>
    <w:rsid w:val="007D30BA"/>
    <w:rsid w:val="007D3E8C"/>
    <w:rsid w:val="007D41F4"/>
    <w:rsid w:val="007D499C"/>
    <w:rsid w:val="007D73B9"/>
    <w:rsid w:val="007E16BD"/>
    <w:rsid w:val="007E3BA6"/>
    <w:rsid w:val="007F5DBC"/>
    <w:rsid w:val="007F7A4B"/>
    <w:rsid w:val="00801459"/>
    <w:rsid w:val="008019A2"/>
    <w:rsid w:val="008039D2"/>
    <w:rsid w:val="00803C64"/>
    <w:rsid w:val="008048C4"/>
    <w:rsid w:val="00811C7D"/>
    <w:rsid w:val="0081408A"/>
    <w:rsid w:val="00815B56"/>
    <w:rsid w:val="00820FEF"/>
    <w:rsid w:val="0082216B"/>
    <w:rsid w:val="00825548"/>
    <w:rsid w:val="008276C5"/>
    <w:rsid w:val="00831400"/>
    <w:rsid w:val="0083378F"/>
    <w:rsid w:val="00835141"/>
    <w:rsid w:val="00837642"/>
    <w:rsid w:val="008430EB"/>
    <w:rsid w:val="00846D5A"/>
    <w:rsid w:val="0085205B"/>
    <w:rsid w:val="00854A3B"/>
    <w:rsid w:val="008566BF"/>
    <w:rsid w:val="008579F4"/>
    <w:rsid w:val="00860175"/>
    <w:rsid w:val="0086097A"/>
    <w:rsid w:val="0086396D"/>
    <w:rsid w:val="00864FC9"/>
    <w:rsid w:val="0087290E"/>
    <w:rsid w:val="008735FA"/>
    <w:rsid w:val="00873D44"/>
    <w:rsid w:val="00874F9F"/>
    <w:rsid w:val="008753B5"/>
    <w:rsid w:val="00875BB9"/>
    <w:rsid w:val="00877E02"/>
    <w:rsid w:val="008802A6"/>
    <w:rsid w:val="00880E46"/>
    <w:rsid w:val="00883BB8"/>
    <w:rsid w:val="00886A35"/>
    <w:rsid w:val="00887DB9"/>
    <w:rsid w:val="008938D0"/>
    <w:rsid w:val="0089511A"/>
    <w:rsid w:val="00895C27"/>
    <w:rsid w:val="008A05F1"/>
    <w:rsid w:val="008B00D8"/>
    <w:rsid w:val="008B0984"/>
    <w:rsid w:val="008B6C35"/>
    <w:rsid w:val="008B7C44"/>
    <w:rsid w:val="008C6170"/>
    <w:rsid w:val="008C7B13"/>
    <w:rsid w:val="008D2162"/>
    <w:rsid w:val="008D22D5"/>
    <w:rsid w:val="008D2B79"/>
    <w:rsid w:val="008D2DC9"/>
    <w:rsid w:val="008D34DA"/>
    <w:rsid w:val="008D5AD0"/>
    <w:rsid w:val="008D6D52"/>
    <w:rsid w:val="008E12EE"/>
    <w:rsid w:val="008E14AC"/>
    <w:rsid w:val="008E218B"/>
    <w:rsid w:val="008E3D06"/>
    <w:rsid w:val="008E5AC4"/>
    <w:rsid w:val="008E6DD1"/>
    <w:rsid w:val="008E71D5"/>
    <w:rsid w:val="008E75CC"/>
    <w:rsid w:val="008E7BB4"/>
    <w:rsid w:val="008F063B"/>
    <w:rsid w:val="008F1292"/>
    <w:rsid w:val="008F25D9"/>
    <w:rsid w:val="008F3AC9"/>
    <w:rsid w:val="008F52E0"/>
    <w:rsid w:val="008F5672"/>
    <w:rsid w:val="0090081F"/>
    <w:rsid w:val="00902650"/>
    <w:rsid w:val="00902C1D"/>
    <w:rsid w:val="00904228"/>
    <w:rsid w:val="00905FF6"/>
    <w:rsid w:val="009157CE"/>
    <w:rsid w:val="0091594D"/>
    <w:rsid w:val="00915FD1"/>
    <w:rsid w:val="009215D0"/>
    <w:rsid w:val="009228F0"/>
    <w:rsid w:val="009237AE"/>
    <w:rsid w:val="00923B20"/>
    <w:rsid w:val="0092413F"/>
    <w:rsid w:val="009252CF"/>
    <w:rsid w:val="009261AF"/>
    <w:rsid w:val="00927F94"/>
    <w:rsid w:val="00930441"/>
    <w:rsid w:val="009306D5"/>
    <w:rsid w:val="00933960"/>
    <w:rsid w:val="009355A5"/>
    <w:rsid w:val="00954548"/>
    <w:rsid w:val="009563B0"/>
    <w:rsid w:val="009605CD"/>
    <w:rsid w:val="00960664"/>
    <w:rsid w:val="00961F14"/>
    <w:rsid w:val="009621E2"/>
    <w:rsid w:val="0096242B"/>
    <w:rsid w:val="00962DE3"/>
    <w:rsid w:val="00964F65"/>
    <w:rsid w:val="009662CF"/>
    <w:rsid w:val="00966F3B"/>
    <w:rsid w:val="00971788"/>
    <w:rsid w:val="00971E69"/>
    <w:rsid w:val="00973065"/>
    <w:rsid w:val="009732D0"/>
    <w:rsid w:val="00982C1A"/>
    <w:rsid w:val="00983F4B"/>
    <w:rsid w:val="00985EBB"/>
    <w:rsid w:val="0098730C"/>
    <w:rsid w:val="00987ADA"/>
    <w:rsid w:val="00990A08"/>
    <w:rsid w:val="009931E4"/>
    <w:rsid w:val="009968AA"/>
    <w:rsid w:val="009A0A82"/>
    <w:rsid w:val="009A3BBD"/>
    <w:rsid w:val="009A4C64"/>
    <w:rsid w:val="009A70EE"/>
    <w:rsid w:val="009B24BF"/>
    <w:rsid w:val="009B3B9F"/>
    <w:rsid w:val="009B5D7C"/>
    <w:rsid w:val="009B6075"/>
    <w:rsid w:val="009B6C32"/>
    <w:rsid w:val="009B760B"/>
    <w:rsid w:val="009C1294"/>
    <w:rsid w:val="009C21B2"/>
    <w:rsid w:val="009C3954"/>
    <w:rsid w:val="009C45BA"/>
    <w:rsid w:val="009C5872"/>
    <w:rsid w:val="009D23D7"/>
    <w:rsid w:val="009D2A47"/>
    <w:rsid w:val="009D3055"/>
    <w:rsid w:val="009D316F"/>
    <w:rsid w:val="009D59EC"/>
    <w:rsid w:val="009D7CF4"/>
    <w:rsid w:val="009E35C2"/>
    <w:rsid w:val="009E3C10"/>
    <w:rsid w:val="009E4459"/>
    <w:rsid w:val="009E46B9"/>
    <w:rsid w:val="009E7237"/>
    <w:rsid w:val="009E755F"/>
    <w:rsid w:val="009F131E"/>
    <w:rsid w:val="009F1630"/>
    <w:rsid w:val="009F589B"/>
    <w:rsid w:val="00A01151"/>
    <w:rsid w:val="00A03F86"/>
    <w:rsid w:val="00A04772"/>
    <w:rsid w:val="00A07857"/>
    <w:rsid w:val="00A07D2C"/>
    <w:rsid w:val="00A11607"/>
    <w:rsid w:val="00A12856"/>
    <w:rsid w:val="00A12D46"/>
    <w:rsid w:val="00A13E86"/>
    <w:rsid w:val="00A14189"/>
    <w:rsid w:val="00A1455F"/>
    <w:rsid w:val="00A14F61"/>
    <w:rsid w:val="00A17CF0"/>
    <w:rsid w:val="00A20206"/>
    <w:rsid w:val="00A2059E"/>
    <w:rsid w:val="00A20CB3"/>
    <w:rsid w:val="00A20FA6"/>
    <w:rsid w:val="00A21A65"/>
    <w:rsid w:val="00A26FCD"/>
    <w:rsid w:val="00A27A28"/>
    <w:rsid w:val="00A27A64"/>
    <w:rsid w:val="00A300BC"/>
    <w:rsid w:val="00A3088E"/>
    <w:rsid w:val="00A309FC"/>
    <w:rsid w:val="00A32954"/>
    <w:rsid w:val="00A34030"/>
    <w:rsid w:val="00A347B2"/>
    <w:rsid w:val="00A348AA"/>
    <w:rsid w:val="00A37386"/>
    <w:rsid w:val="00A45064"/>
    <w:rsid w:val="00A46103"/>
    <w:rsid w:val="00A528A6"/>
    <w:rsid w:val="00A57550"/>
    <w:rsid w:val="00A57F9B"/>
    <w:rsid w:val="00A61854"/>
    <w:rsid w:val="00A6210F"/>
    <w:rsid w:val="00A62D6C"/>
    <w:rsid w:val="00A630DD"/>
    <w:rsid w:val="00A63AFC"/>
    <w:rsid w:val="00A65D7E"/>
    <w:rsid w:val="00A65FC9"/>
    <w:rsid w:val="00A70C41"/>
    <w:rsid w:val="00A71E56"/>
    <w:rsid w:val="00A72B7E"/>
    <w:rsid w:val="00A72DB4"/>
    <w:rsid w:val="00A76EA2"/>
    <w:rsid w:val="00A770CD"/>
    <w:rsid w:val="00A77FB4"/>
    <w:rsid w:val="00A83C96"/>
    <w:rsid w:val="00A83FE5"/>
    <w:rsid w:val="00A8429F"/>
    <w:rsid w:val="00A84E7A"/>
    <w:rsid w:val="00A85FE6"/>
    <w:rsid w:val="00A86FE1"/>
    <w:rsid w:val="00A91B08"/>
    <w:rsid w:val="00A91F05"/>
    <w:rsid w:val="00A92D06"/>
    <w:rsid w:val="00A96A4B"/>
    <w:rsid w:val="00A971D3"/>
    <w:rsid w:val="00AA2CEF"/>
    <w:rsid w:val="00AA686F"/>
    <w:rsid w:val="00AA6E64"/>
    <w:rsid w:val="00AA72EF"/>
    <w:rsid w:val="00AA7664"/>
    <w:rsid w:val="00AB4732"/>
    <w:rsid w:val="00AB5C28"/>
    <w:rsid w:val="00AB5F86"/>
    <w:rsid w:val="00AC07B4"/>
    <w:rsid w:val="00AC0B01"/>
    <w:rsid w:val="00AC19D8"/>
    <w:rsid w:val="00AC4BF8"/>
    <w:rsid w:val="00AC5279"/>
    <w:rsid w:val="00AC534F"/>
    <w:rsid w:val="00AC7CD3"/>
    <w:rsid w:val="00AD06A4"/>
    <w:rsid w:val="00AD15D9"/>
    <w:rsid w:val="00AD182E"/>
    <w:rsid w:val="00AD417B"/>
    <w:rsid w:val="00AE0402"/>
    <w:rsid w:val="00AE0443"/>
    <w:rsid w:val="00AE0722"/>
    <w:rsid w:val="00AE0D3C"/>
    <w:rsid w:val="00AE1E7E"/>
    <w:rsid w:val="00AE27E3"/>
    <w:rsid w:val="00AF00B3"/>
    <w:rsid w:val="00AF1294"/>
    <w:rsid w:val="00AF195C"/>
    <w:rsid w:val="00AF1D43"/>
    <w:rsid w:val="00AF35C9"/>
    <w:rsid w:val="00AF51E4"/>
    <w:rsid w:val="00AF703B"/>
    <w:rsid w:val="00B023C4"/>
    <w:rsid w:val="00B02550"/>
    <w:rsid w:val="00B03C23"/>
    <w:rsid w:val="00B064A7"/>
    <w:rsid w:val="00B11937"/>
    <w:rsid w:val="00B14227"/>
    <w:rsid w:val="00B15D92"/>
    <w:rsid w:val="00B243EF"/>
    <w:rsid w:val="00B24BEF"/>
    <w:rsid w:val="00B255C0"/>
    <w:rsid w:val="00B30AC6"/>
    <w:rsid w:val="00B30C7F"/>
    <w:rsid w:val="00B317AE"/>
    <w:rsid w:val="00B31D45"/>
    <w:rsid w:val="00B31E36"/>
    <w:rsid w:val="00B36292"/>
    <w:rsid w:val="00B41B7C"/>
    <w:rsid w:val="00B41BC4"/>
    <w:rsid w:val="00B4407D"/>
    <w:rsid w:val="00B51D5F"/>
    <w:rsid w:val="00B54F0F"/>
    <w:rsid w:val="00B65434"/>
    <w:rsid w:val="00B66046"/>
    <w:rsid w:val="00B67C52"/>
    <w:rsid w:val="00B7066D"/>
    <w:rsid w:val="00B7401C"/>
    <w:rsid w:val="00B7669B"/>
    <w:rsid w:val="00B76842"/>
    <w:rsid w:val="00B800B9"/>
    <w:rsid w:val="00B80106"/>
    <w:rsid w:val="00B81087"/>
    <w:rsid w:val="00B8122D"/>
    <w:rsid w:val="00B81E74"/>
    <w:rsid w:val="00B852AD"/>
    <w:rsid w:val="00B90248"/>
    <w:rsid w:val="00B91B51"/>
    <w:rsid w:val="00B922BE"/>
    <w:rsid w:val="00B92392"/>
    <w:rsid w:val="00B9407F"/>
    <w:rsid w:val="00B973CA"/>
    <w:rsid w:val="00B97611"/>
    <w:rsid w:val="00BA0A97"/>
    <w:rsid w:val="00BA4DCD"/>
    <w:rsid w:val="00BA51A0"/>
    <w:rsid w:val="00BA5ED0"/>
    <w:rsid w:val="00BA66C3"/>
    <w:rsid w:val="00BB2FAC"/>
    <w:rsid w:val="00BB6259"/>
    <w:rsid w:val="00BB6887"/>
    <w:rsid w:val="00BC2F12"/>
    <w:rsid w:val="00BC3E5D"/>
    <w:rsid w:val="00BC4A86"/>
    <w:rsid w:val="00BC5A0D"/>
    <w:rsid w:val="00BD00C5"/>
    <w:rsid w:val="00BD16CC"/>
    <w:rsid w:val="00BD5C18"/>
    <w:rsid w:val="00BD5C25"/>
    <w:rsid w:val="00BE1513"/>
    <w:rsid w:val="00BE1F67"/>
    <w:rsid w:val="00BE372D"/>
    <w:rsid w:val="00BE674E"/>
    <w:rsid w:val="00BE6E97"/>
    <w:rsid w:val="00BF1707"/>
    <w:rsid w:val="00BF24F3"/>
    <w:rsid w:val="00BF28FA"/>
    <w:rsid w:val="00C012DA"/>
    <w:rsid w:val="00C01691"/>
    <w:rsid w:val="00C02204"/>
    <w:rsid w:val="00C06D70"/>
    <w:rsid w:val="00C07D30"/>
    <w:rsid w:val="00C1475A"/>
    <w:rsid w:val="00C16210"/>
    <w:rsid w:val="00C16F0B"/>
    <w:rsid w:val="00C17D7C"/>
    <w:rsid w:val="00C17E61"/>
    <w:rsid w:val="00C20182"/>
    <w:rsid w:val="00C2061E"/>
    <w:rsid w:val="00C315BE"/>
    <w:rsid w:val="00C33BE7"/>
    <w:rsid w:val="00C35560"/>
    <w:rsid w:val="00C4020C"/>
    <w:rsid w:val="00C44172"/>
    <w:rsid w:val="00C47D23"/>
    <w:rsid w:val="00C51186"/>
    <w:rsid w:val="00C538E2"/>
    <w:rsid w:val="00C6233E"/>
    <w:rsid w:val="00C63C68"/>
    <w:rsid w:val="00C63EDF"/>
    <w:rsid w:val="00C65B7D"/>
    <w:rsid w:val="00C65E84"/>
    <w:rsid w:val="00C71404"/>
    <w:rsid w:val="00C72030"/>
    <w:rsid w:val="00C72A43"/>
    <w:rsid w:val="00C74D13"/>
    <w:rsid w:val="00C8795D"/>
    <w:rsid w:val="00C9161C"/>
    <w:rsid w:val="00C92C32"/>
    <w:rsid w:val="00C9351C"/>
    <w:rsid w:val="00C97941"/>
    <w:rsid w:val="00CA3F71"/>
    <w:rsid w:val="00CA5040"/>
    <w:rsid w:val="00CA7D78"/>
    <w:rsid w:val="00CA7EE5"/>
    <w:rsid w:val="00CB231F"/>
    <w:rsid w:val="00CB2DB1"/>
    <w:rsid w:val="00CB4EEF"/>
    <w:rsid w:val="00CB6207"/>
    <w:rsid w:val="00CC2713"/>
    <w:rsid w:val="00CD11B0"/>
    <w:rsid w:val="00CD2BFF"/>
    <w:rsid w:val="00CD35B1"/>
    <w:rsid w:val="00CD4BA0"/>
    <w:rsid w:val="00CD65B1"/>
    <w:rsid w:val="00CD6E06"/>
    <w:rsid w:val="00CE039C"/>
    <w:rsid w:val="00CE242C"/>
    <w:rsid w:val="00CE46D5"/>
    <w:rsid w:val="00CE4797"/>
    <w:rsid w:val="00CE4C9B"/>
    <w:rsid w:val="00CE59E7"/>
    <w:rsid w:val="00CE645C"/>
    <w:rsid w:val="00CE6D42"/>
    <w:rsid w:val="00CE7978"/>
    <w:rsid w:val="00CF6621"/>
    <w:rsid w:val="00D03772"/>
    <w:rsid w:val="00D054F2"/>
    <w:rsid w:val="00D077C5"/>
    <w:rsid w:val="00D1007F"/>
    <w:rsid w:val="00D10918"/>
    <w:rsid w:val="00D13690"/>
    <w:rsid w:val="00D14EEA"/>
    <w:rsid w:val="00D17B37"/>
    <w:rsid w:val="00D17F2E"/>
    <w:rsid w:val="00D20D87"/>
    <w:rsid w:val="00D20E39"/>
    <w:rsid w:val="00D20FFA"/>
    <w:rsid w:val="00D217F3"/>
    <w:rsid w:val="00D21E9D"/>
    <w:rsid w:val="00D31AA0"/>
    <w:rsid w:val="00D41CBF"/>
    <w:rsid w:val="00D460DE"/>
    <w:rsid w:val="00D47642"/>
    <w:rsid w:val="00D55186"/>
    <w:rsid w:val="00D60B49"/>
    <w:rsid w:val="00D65954"/>
    <w:rsid w:val="00D7399D"/>
    <w:rsid w:val="00D73B4C"/>
    <w:rsid w:val="00D77071"/>
    <w:rsid w:val="00D8010A"/>
    <w:rsid w:val="00D80110"/>
    <w:rsid w:val="00D83083"/>
    <w:rsid w:val="00D90D62"/>
    <w:rsid w:val="00D9626E"/>
    <w:rsid w:val="00D96E3E"/>
    <w:rsid w:val="00D975ED"/>
    <w:rsid w:val="00DA061D"/>
    <w:rsid w:val="00DA0DF4"/>
    <w:rsid w:val="00DA6FFB"/>
    <w:rsid w:val="00DB267F"/>
    <w:rsid w:val="00DB26AB"/>
    <w:rsid w:val="00DB5CE1"/>
    <w:rsid w:val="00DB7DBC"/>
    <w:rsid w:val="00DC0189"/>
    <w:rsid w:val="00DC1751"/>
    <w:rsid w:val="00DC7B52"/>
    <w:rsid w:val="00DD17C2"/>
    <w:rsid w:val="00DD369B"/>
    <w:rsid w:val="00DD48F1"/>
    <w:rsid w:val="00DD7880"/>
    <w:rsid w:val="00DE187D"/>
    <w:rsid w:val="00DE1A6C"/>
    <w:rsid w:val="00DE4E24"/>
    <w:rsid w:val="00DE4ECC"/>
    <w:rsid w:val="00DE52F4"/>
    <w:rsid w:val="00DE5597"/>
    <w:rsid w:val="00DE681E"/>
    <w:rsid w:val="00DE70BB"/>
    <w:rsid w:val="00DF146C"/>
    <w:rsid w:val="00DF1816"/>
    <w:rsid w:val="00DF1ADB"/>
    <w:rsid w:val="00DF58F4"/>
    <w:rsid w:val="00E05A7B"/>
    <w:rsid w:val="00E11E84"/>
    <w:rsid w:val="00E12A80"/>
    <w:rsid w:val="00E143B5"/>
    <w:rsid w:val="00E149A5"/>
    <w:rsid w:val="00E169F4"/>
    <w:rsid w:val="00E219D9"/>
    <w:rsid w:val="00E21C81"/>
    <w:rsid w:val="00E242A8"/>
    <w:rsid w:val="00E26A1C"/>
    <w:rsid w:val="00E32C49"/>
    <w:rsid w:val="00E41E50"/>
    <w:rsid w:val="00E43273"/>
    <w:rsid w:val="00E45483"/>
    <w:rsid w:val="00E47B71"/>
    <w:rsid w:val="00E47E7B"/>
    <w:rsid w:val="00E50B19"/>
    <w:rsid w:val="00E53665"/>
    <w:rsid w:val="00E552E0"/>
    <w:rsid w:val="00E57788"/>
    <w:rsid w:val="00E663FE"/>
    <w:rsid w:val="00E70AF0"/>
    <w:rsid w:val="00E75D32"/>
    <w:rsid w:val="00E760E1"/>
    <w:rsid w:val="00E762A5"/>
    <w:rsid w:val="00E77264"/>
    <w:rsid w:val="00E77B2A"/>
    <w:rsid w:val="00E80226"/>
    <w:rsid w:val="00E8416B"/>
    <w:rsid w:val="00E87B40"/>
    <w:rsid w:val="00E957A5"/>
    <w:rsid w:val="00E95E94"/>
    <w:rsid w:val="00EA059A"/>
    <w:rsid w:val="00EA169F"/>
    <w:rsid w:val="00EA3495"/>
    <w:rsid w:val="00EA5BF6"/>
    <w:rsid w:val="00EA5C52"/>
    <w:rsid w:val="00EB0815"/>
    <w:rsid w:val="00EB1D8D"/>
    <w:rsid w:val="00EB38CE"/>
    <w:rsid w:val="00EC0B4F"/>
    <w:rsid w:val="00EC187B"/>
    <w:rsid w:val="00EC2F12"/>
    <w:rsid w:val="00EC5A35"/>
    <w:rsid w:val="00ED0EB5"/>
    <w:rsid w:val="00ED2497"/>
    <w:rsid w:val="00ED2647"/>
    <w:rsid w:val="00ED2F57"/>
    <w:rsid w:val="00ED4256"/>
    <w:rsid w:val="00ED6555"/>
    <w:rsid w:val="00EE0FDB"/>
    <w:rsid w:val="00EE4FC9"/>
    <w:rsid w:val="00EE5140"/>
    <w:rsid w:val="00EE5195"/>
    <w:rsid w:val="00EE6643"/>
    <w:rsid w:val="00EE67A2"/>
    <w:rsid w:val="00EF0BA0"/>
    <w:rsid w:val="00EF3CA5"/>
    <w:rsid w:val="00EF51DB"/>
    <w:rsid w:val="00F037B1"/>
    <w:rsid w:val="00F06690"/>
    <w:rsid w:val="00F07AC0"/>
    <w:rsid w:val="00F10863"/>
    <w:rsid w:val="00F127A0"/>
    <w:rsid w:val="00F14E74"/>
    <w:rsid w:val="00F14ED0"/>
    <w:rsid w:val="00F17820"/>
    <w:rsid w:val="00F22066"/>
    <w:rsid w:val="00F26285"/>
    <w:rsid w:val="00F267EA"/>
    <w:rsid w:val="00F27706"/>
    <w:rsid w:val="00F3258F"/>
    <w:rsid w:val="00F32982"/>
    <w:rsid w:val="00F32D3A"/>
    <w:rsid w:val="00F347D0"/>
    <w:rsid w:val="00F3718A"/>
    <w:rsid w:val="00F376AF"/>
    <w:rsid w:val="00F3780A"/>
    <w:rsid w:val="00F416B8"/>
    <w:rsid w:val="00F41B62"/>
    <w:rsid w:val="00F42B45"/>
    <w:rsid w:val="00F4709F"/>
    <w:rsid w:val="00F4713E"/>
    <w:rsid w:val="00F47367"/>
    <w:rsid w:val="00F5112C"/>
    <w:rsid w:val="00F533CE"/>
    <w:rsid w:val="00F55570"/>
    <w:rsid w:val="00F56FD6"/>
    <w:rsid w:val="00F57213"/>
    <w:rsid w:val="00F60740"/>
    <w:rsid w:val="00F614D1"/>
    <w:rsid w:val="00F71393"/>
    <w:rsid w:val="00F71AD4"/>
    <w:rsid w:val="00F72959"/>
    <w:rsid w:val="00F75295"/>
    <w:rsid w:val="00F75660"/>
    <w:rsid w:val="00F75F8E"/>
    <w:rsid w:val="00F76E4B"/>
    <w:rsid w:val="00F7736C"/>
    <w:rsid w:val="00F80440"/>
    <w:rsid w:val="00F850B4"/>
    <w:rsid w:val="00F86D58"/>
    <w:rsid w:val="00F87346"/>
    <w:rsid w:val="00F87AA4"/>
    <w:rsid w:val="00F87AEB"/>
    <w:rsid w:val="00F90CAB"/>
    <w:rsid w:val="00F92B06"/>
    <w:rsid w:val="00F934B9"/>
    <w:rsid w:val="00F947EB"/>
    <w:rsid w:val="00F948BC"/>
    <w:rsid w:val="00F94981"/>
    <w:rsid w:val="00F96740"/>
    <w:rsid w:val="00F968A4"/>
    <w:rsid w:val="00F96EA8"/>
    <w:rsid w:val="00FA20DF"/>
    <w:rsid w:val="00FA3A0A"/>
    <w:rsid w:val="00FA6D93"/>
    <w:rsid w:val="00FA72EB"/>
    <w:rsid w:val="00FA7E29"/>
    <w:rsid w:val="00FB0521"/>
    <w:rsid w:val="00FB1127"/>
    <w:rsid w:val="00FB2815"/>
    <w:rsid w:val="00FB36E6"/>
    <w:rsid w:val="00FB3A13"/>
    <w:rsid w:val="00FC03A0"/>
    <w:rsid w:val="00FC0BD0"/>
    <w:rsid w:val="00FC316C"/>
    <w:rsid w:val="00FC3443"/>
    <w:rsid w:val="00FC3B92"/>
    <w:rsid w:val="00FC5F38"/>
    <w:rsid w:val="00FC7B75"/>
    <w:rsid w:val="00FD070F"/>
    <w:rsid w:val="00FD1911"/>
    <w:rsid w:val="00FD4989"/>
    <w:rsid w:val="00FD5887"/>
    <w:rsid w:val="00FD7C26"/>
    <w:rsid w:val="00FE0115"/>
    <w:rsid w:val="00FE0F9E"/>
    <w:rsid w:val="00FE1759"/>
    <w:rsid w:val="00FE1BDE"/>
    <w:rsid w:val="00FF17F7"/>
    <w:rsid w:val="00FF3F7E"/>
    <w:rsid w:val="00FF4DD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19"/>
    <w:pPr>
      <w:spacing w:after="0" w:line="240" w:lineRule="auto"/>
    </w:pPr>
    <w:rPr>
      <w:rFonts w:ascii="Times New Roman" w:eastAsia="Times New Roman" w:hAnsi="Times New Roman" w:cs="Times New Roman"/>
      <w:sz w:val="24"/>
      <w:szCs w:val="24"/>
      <w:lang w:val="en-GB" w:eastAsia="fr-FR"/>
    </w:rPr>
  </w:style>
  <w:style w:type="paragraph" w:styleId="Ttulo1">
    <w:name w:val="heading 1"/>
    <w:basedOn w:val="Normal"/>
    <w:next w:val="Normal"/>
    <w:link w:val="Ttulo1Car"/>
    <w:autoRedefine/>
    <w:uiPriority w:val="9"/>
    <w:qFormat/>
    <w:rsid w:val="004A034A"/>
    <w:pPr>
      <w:keepNext/>
      <w:keepLines/>
      <w:numPr>
        <w:numId w:val="4"/>
      </w:numPr>
      <w:spacing w:before="240" w:after="120" w:line="360" w:lineRule="auto"/>
      <w:outlineLvl w:val="0"/>
    </w:pPr>
    <w:rPr>
      <w:rFonts w:eastAsiaTheme="majorEastAsia"/>
      <w:b/>
      <w:szCs w:val="22"/>
    </w:rPr>
  </w:style>
  <w:style w:type="paragraph" w:styleId="Ttulo2">
    <w:name w:val="heading 2"/>
    <w:basedOn w:val="Normal"/>
    <w:next w:val="Normal"/>
    <w:link w:val="Ttulo2Car"/>
    <w:autoRedefine/>
    <w:uiPriority w:val="9"/>
    <w:unhideWhenUsed/>
    <w:qFormat/>
    <w:rsid w:val="008F52E0"/>
    <w:pPr>
      <w:keepNext/>
      <w:keepLines/>
      <w:numPr>
        <w:ilvl w:val="1"/>
        <w:numId w:val="4"/>
      </w:numPr>
      <w:spacing w:before="160" w:after="120" w:line="360" w:lineRule="auto"/>
      <w:outlineLvl w:val="1"/>
    </w:pPr>
    <w:rPr>
      <w:rFonts w:eastAsiaTheme="majorEastAsia" w:cstheme="majorBidi"/>
      <w:b/>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50B19"/>
    <w:rPr>
      <w:color w:val="0563C1"/>
      <w:u w:val="single"/>
    </w:rPr>
  </w:style>
  <w:style w:type="character" w:customStyle="1" w:styleId="Ttulo1Car">
    <w:name w:val="Título 1 Car"/>
    <w:basedOn w:val="Fuentedeprrafopredeter"/>
    <w:link w:val="Ttulo1"/>
    <w:uiPriority w:val="9"/>
    <w:rsid w:val="004A034A"/>
    <w:rPr>
      <w:rFonts w:ascii="Times New Roman" w:eastAsiaTheme="majorEastAsia" w:hAnsi="Times New Roman" w:cs="Times New Roman"/>
      <w:b/>
      <w:sz w:val="24"/>
      <w:lang w:val="en-GB" w:eastAsia="fr-FR"/>
    </w:rPr>
  </w:style>
  <w:style w:type="paragraph" w:styleId="Prrafodelista">
    <w:name w:val="List Paragraph"/>
    <w:basedOn w:val="Normal"/>
    <w:uiPriority w:val="34"/>
    <w:qFormat/>
    <w:rsid w:val="00E50B19"/>
    <w:pPr>
      <w:ind w:left="720"/>
      <w:contextualSpacing/>
    </w:pPr>
  </w:style>
  <w:style w:type="character" w:styleId="Refdecomentario">
    <w:name w:val="annotation reference"/>
    <w:basedOn w:val="Fuentedeprrafopredeter"/>
    <w:uiPriority w:val="99"/>
    <w:semiHidden/>
    <w:unhideWhenUsed/>
    <w:rsid w:val="00E50B19"/>
    <w:rPr>
      <w:sz w:val="16"/>
      <w:szCs w:val="16"/>
    </w:rPr>
  </w:style>
  <w:style w:type="paragraph" w:styleId="Textocomentario">
    <w:name w:val="annotation text"/>
    <w:basedOn w:val="Normal"/>
    <w:link w:val="TextocomentarioCar"/>
    <w:uiPriority w:val="99"/>
    <w:semiHidden/>
    <w:unhideWhenUsed/>
    <w:rsid w:val="00E50B19"/>
    <w:rPr>
      <w:sz w:val="20"/>
      <w:szCs w:val="20"/>
    </w:rPr>
  </w:style>
  <w:style w:type="character" w:customStyle="1" w:styleId="TextocomentarioCar">
    <w:name w:val="Texto comentario Car"/>
    <w:basedOn w:val="Fuentedeprrafopredeter"/>
    <w:link w:val="Textocomentario"/>
    <w:uiPriority w:val="99"/>
    <w:semiHidden/>
    <w:rsid w:val="00E50B19"/>
    <w:rPr>
      <w:rFonts w:ascii="Times New Roman" w:eastAsia="Times New Roman" w:hAnsi="Times New Roman" w:cs="Times New Roman"/>
      <w:sz w:val="20"/>
      <w:szCs w:val="20"/>
      <w:lang w:val="fr-FR" w:eastAsia="fr-FR"/>
    </w:rPr>
  </w:style>
  <w:style w:type="paragraph" w:styleId="Asuntodelcomentario">
    <w:name w:val="annotation subject"/>
    <w:basedOn w:val="Textocomentario"/>
    <w:next w:val="Textocomentario"/>
    <w:link w:val="AsuntodelcomentarioCar"/>
    <w:uiPriority w:val="99"/>
    <w:semiHidden/>
    <w:unhideWhenUsed/>
    <w:rsid w:val="00E50B19"/>
    <w:rPr>
      <w:b/>
      <w:bCs/>
    </w:rPr>
  </w:style>
  <w:style w:type="character" w:customStyle="1" w:styleId="AsuntodelcomentarioCar">
    <w:name w:val="Asunto del comentario Car"/>
    <w:basedOn w:val="TextocomentarioCar"/>
    <w:link w:val="Asuntodelcomentario"/>
    <w:uiPriority w:val="99"/>
    <w:semiHidden/>
    <w:rsid w:val="00E50B19"/>
    <w:rPr>
      <w:rFonts w:ascii="Times New Roman" w:eastAsia="Times New Roman" w:hAnsi="Times New Roman" w:cs="Times New Roman"/>
      <w:b/>
      <w:bCs/>
      <w:sz w:val="20"/>
      <w:szCs w:val="20"/>
      <w:lang w:val="fr-FR" w:eastAsia="fr-FR"/>
    </w:rPr>
  </w:style>
  <w:style w:type="paragraph" w:styleId="Textodeglobo">
    <w:name w:val="Balloon Text"/>
    <w:basedOn w:val="Normal"/>
    <w:link w:val="TextodegloboCar"/>
    <w:uiPriority w:val="99"/>
    <w:semiHidden/>
    <w:unhideWhenUsed/>
    <w:rsid w:val="00E50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0B19"/>
    <w:rPr>
      <w:rFonts w:ascii="Segoe UI" w:eastAsia="Times New Roman" w:hAnsi="Segoe UI" w:cs="Segoe UI"/>
      <w:sz w:val="18"/>
      <w:szCs w:val="18"/>
      <w:lang w:val="fr-FR" w:eastAsia="fr-FR"/>
    </w:rPr>
  </w:style>
  <w:style w:type="table" w:styleId="Tablaconcuadrcula">
    <w:name w:val="Table Grid"/>
    <w:basedOn w:val="Tablanormal"/>
    <w:uiPriority w:val="39"/>
    <w:rsid w:val="00C01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810B9"/>
    <w:rPr>
      <w:color w:val="808080"/>
    </w:rPr>
  </w:style>
  <w:style w:type="paragraph" w:styleId="Revisin">
    <w:name w:val="Revision"/>
    <w:hidden/>
    <w:uiPriority w:val="99"/>
    <w:semiHidden/>
    <w:rsid w:val="00560703"/>
    <w:pPr>
      <w:spacing w:after="0"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350748"/>
    <w:pPr>
      <w:spacing w:before="100" w:beforeAutospacing="1" w:after="100" w:afterAutospacing="1"/>
    </w:pPr>
    <w:rPr>
      <w:lang w:val="es-ES" w:eastAsia="zh-CN"/>
    </w:rPr>
  </w:style>
  <w:style w:type="character" w:styleId="Textoennegrita">
    <w:name w:val="Strong"/>
    <w:basedOn w:val="Fuentedeprrafopredeter"/>
    <w:uiPriority w:val="22"/>
    <w:qFormat/>
    <w:rsid w:val="00350748"/>
    <w:rPr>
      <w:b/>
      <w:bCs/>
    </w:rPr>
  </w:style>
  <w:style w:type="paragraph" w:styleId="Encabezado">
    <w:name w:val="header"/>
    <w:basedOn w:val="Normal"/>
    <w:link w:val="EncabezadoCar"/>
    <w:uiPriority w:val="99"/>
    <w:unhideWhenUsed/>
    <w:rsid w:val="00A37386"/>
    <w:pPr>
      <w:tabs>
        <w:tab w:val="center" w:pos="4252"/>
        <w:tab w:val="right" w:pos="8504"/>
      </w:tabs>
    </w:pPr>
  </w:style>
  <w:style w:type="character" w:customStyle="1" w:styleId="EncabezadoCar">
    <w:name w:val="Encabezado Car"/>
    <w:basedOn w:val="Fuentedeprrafopredeter"/>
    <w:link w:val="Encabezado"/>
    <w:uiPriority w:val="99"/>
    <w:rsid w:val="00A37386"/>
    <w:rPr>
      <w:rFonts w:ascii="Times New Roman" w:eastAsia="Times New Roman" w:hAnsi="Times New Roman" w:cs="Times New Roman"/>
      <w:sz w:val="24"/>
      <w:szCs w:val="24"/>
      <w:lang w:val="fr-FR" w:eastAsia="fr-FR"/>
    </w:rPr>
  </w:style>
  <w:style w:type="paragraph" w:styleId="Piedepgina">
    <w:name w:val="footer"/>
    <w:basedOn w:val="Normal"/>
    <w:link w:val="PiedepginaCar"/>
    <w:uiPriority w:val="99"/>
    <w:unhideWhenUsed/>
    <w:rsid w:val="00A37386"/>
    <w:pPr>
      <w:tabs>
        <w:tab w:val="center" w:pos="4252"/>
        <w:tab w:val="right" w:pos="8504"/>
      </w:tabs>
    </w:pPr>
  </w:style>
  <w:style w:type="character" w:customStyle="1" w:styleId="PiedepginaCar">
    <w:name w:val="Pie de página Car"/>
    <w:basedOn w:val="Fuentedeprrafopredeter"/>
    <w:link w:val="Piedepgina"/>
    <w:uiPriority w:val="99"/>
    <w:rsid w:val="00A37386"/>
    <w:rPr>
      <w:rFonts w:ascii="Times New Roman" w:eastAsia="Times New Roman" w:hAnsi="Times New Roman" w:cs="Times New Roman"/>
      <w:sz w:val="24"/>
      <w:szCs w:val="24"/>
      <w:lang w:val="fr-FR" w:eastAsia="fr-FR"/>
    </w:rPr>
  </w:style>
  <w:style w:type="table" w:customStyle="1" w:styleId="ListTable1Light">
    <w:name w:val="List Table 1 Light"/>
    <w:basedOn w:val="Tablanormal"/>
    <w:uiPriority w:val="46"/>
    <w:rsid w:val="005B57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2Car">
    <w:name w:val="Título 2 Car"/>
    <w:basedOn w:val="Fuentedeprrafopredeter"/>
    <w:link w:val="Ttulo2"/>
    <w:uiPriority w:val="9"/>
    <w:rsid w:val="008F52E0"/>
    <w:rPr>
      <w:rFonts w:ascii="Times New Roman" w:eastAsiaTheme="majorEastAsia" w:hAnsi="Times New Roman" w:cstheme="majorBidi"/>
      <w:b/>
      <w:szCs w:val="26"/>
      <w:lang w:val="en-GB" w:eastAsia="fr-FR"/>
    </w:rPr>
  </w:style>
  <w:style w:type="table" w:customStyle="1" w:styleId="GridTable7Colorful">
    <w:name w:val="Grid Table 7 Colorful"/>
    <w:basedOn w:val="Tablanormal"/>
    <w:uiPriority w:val="52"/>
    <w:rsid w:val="009355A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7Colorful">
    <w:name w:val="List Table 7 Colorful"/>
    <w:basedOn w:val="Tablanormal"/>
    <w:uiPriority w:val="52"/>
    <w:rsid w:val="009355A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grafe">
    <w:name w:val="caption"/>
    <w:basedOn w:val="Normal"/>
    <w:next w:val="Normal"/>
    <w:uiPriority w:val="35"/>
    <w:unhideWhenUsed/>
    <w:qFormat/>
    <w:rsid w:val="003B26BE"/>
    <w:pPr>
      <w:spacing w:after="200"/>
    </w:pPr>
    <w:rPr>
      <w:i/>
      <w:iCs/>
      <w:color w:val="44546A" w:themeColor="text2"/>
      <w:sz w:val="18"/>
      <w:szCs w:val="18"/>
    </w:rPr>
  </w:style>
  <w:style w:type="character" w:styleId="Nmerodelnea">
    <w:name w:val="line number"/>
    <w:basedOn w:val="Fuentedeprrafopredeter"/>
    <w:uiPriority w:val="99"/>
    <w:semiHidden/>
    <w:unhideWhenUsed/>
    <w:rsid w:val="00123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19"/>
    <w:pPr>
      <w:spacing w:after="0" w:line="240" w:lineRule="auto"/>
    </w:pPr>
    <w:rPr>
      <w:rFonts w:ascii="Times New Roman" w:eastAsia="Times New Roman" w:hAnsi="Times New Roman" w:cs="Times New Roman"/>
      <w:sz w:val="24"/>
      <w:szCs w:val="24"/>
      <w:lang w:val="en-GB" w:eastAsia="fr-FR"/>
    </w:rPr>
  </w:style>
  <w:style w:type="paragraph" w:styleId="Ttulo1">
    <w:name w:val="heading 1"/>
    <w:basedOn w:val="Normal"/>
    <w:next w:val="Normal"/>
    <w:link w:val="Ttulo1Car"/>
    <w:autoRedefine/>
    <w:uiPriority w:val="9"/>
    <w:qFormat/>
    <w:rsid w:val="004A034A"/>
    <w:pPr>
      <w:keepNext/>
      <w:keepLines/>
      <w:numPr>
        <w:numId w:val="4"/>
      </w:numPr>
      <w:spacing w:before="240" w:after="120" w:line="360" w:lineRule="auto"/>
      <w:outlineLvl w:val="0"/>
    </w:pPr>
    <w:rPr>
      <w:rFonts w:eastAsiaTheme="majorEastAsia"/>
      <w:b/>
      <w:szCs w:val="22"/>
    </w:rPr>
  </w:style>
  <w:style w:type="paragraph" w:styleId="Ttulo2">
    <w:name w:val="heading 2"/>
    <w:basedOn w:val="Normal"/>
    <w:next w:val="Normal"/>
    <w:link w:val="Ttulo2Car"/>
    <w:autoRedefine/>
    <w:uiPriority w:val="9"/>
    <w:unhideWhenUsed/>
    <w:qFormat/>
    <w:rsid w:val="008F52E0"/>
    <w:pPr>
      <w:keepNext/>
      <w:keepLines/>
      <w:numPr>
        <w:ilvl w:val="1"/>
        <w:numId w:val="4"/>
      </w:numPr>
      <w:spacing w:before="160" w:after="120" w:line="360" w:lineRule="auto"/>
      <w:outlineLvl w:val="1"/>
    </w:pPr>
    <w:rPr>
      <w:rFonts w:eastAsiaTheme="majorEastAsia" w:cstheme="majorBidi"/>
      <w:b/>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50B19"/>
    <w:rPr>
      <w:color w:val="0563C1"/>
      <w:u w:val="single"/>
    </w:rPr>
  </w:style>
  <w:style w:type="character" w:customStyle="1" w:styleId="Ttulo1Car">
    <w:name w:val="Título 1 Car"/>
    <w:basedOn w:val="Fuentedeprrafopredeter"/>
    <w:link w:val="Ttulo1"/>
    <w:uiPriority w:val="9"/>
    <w:rsid w:val="004A034A"/>
    <w:rPr>
      <w:rFonts w:ascii="Times New Roman" w:eastAsiaTheme="majorEastAsia" w:hAnsi="Times New Roman" w:cs="Times New Roman"/>
      <w:b/>
      <w:sz w:val="24"/>
      <w:lang w:val="en-GB" w:eastAsia="fr-FR"/>
    </w:rPr>
  </w:style>
  <w:style w:type="paragraph" w:styleId="Prrafodelista">
    <w:name w:val="List Paragraph"/>
    <w:basedOn w:val="Normal"/>
    <w:uiPriority w:val="34"/>
    <w:qFormat/>
    <w:rsid w:val="00E50B19"/>
    <w:pPr>
      <w:ind w:left="720"/>
      <w:contextualSpacing/>
    </w:pPr>
  </w:style>
  <w:style w:type="character" w:styleId="Refdecomentario">
    <w:name w:val="annotation reference"/>
    <w:basedOn w:val="Fuentedeprrafopredeter"/>
    <w:uiPriority w:val="99"/>
    <w:semiHidden/>
    <w:unhideWhenUsed/>
    <w:rsid w:val="00E50B19"/>
    <w:rPr>
      <w:sz w:val="16"/>
      <w:szCs w:val="16"/>
    </w:rPr>
  </w:style>
  <w:style w:type="paragraph" w:styleId="Textocomentario">
    <w:name w:val="annotation text"/>
    <w:basedOn w:val="Normal"/>
    <w:link w:val="TextocomentarioCar"/>
    <w:uiPriority w:val="99"/>
    <w:semiHidden/>
    <w:unhideWhenUsed/>
    <w:rsid w:val="00E50B19"/>
    <w:rPr>
      <w:sz w:val="20"/>
      <w:szCs w:val="20"/>
    </w:rPr>
  </w:style>
  <w:style w:type="character" w:customStyle="1" w:styleId="TextocomentarioCar">
    <w:name w:val="Texto comentario Car"/>
    <w:basedOn w:val="Fuentedeprrafopredeter"/>
    <w:link w:val="Textocomentario"/>
    <w:uiPriority w:val="99"/>
    <w:semiHidden/>
    <w:rsid w:val="00E50B19"/>
    <w:rPr>
      <w:rFonts w:ascii="Times New Roman" w:eastAsia="Times New Roman" w:hAnsi="Times New Roman" w:cs="Times New Roman"/>
      <w:sz w:val="20"/>
      <w:szCs w:val="20"/>
      <w:lang w:val="fr-FR" w:eastAsia="fr-FR"/>
    </w:rPr>
  </w:style>
  <w:style w:type="paragraph" w:styleId="Asuntodelcomentario">
    <w:name w:val="annotation subject"/>
    <w:basedOn w:val="Textocomentario"/>
    <w:next w:val="Textocomentario"/>
    <w:link w:val="AsuntodelcomentarioCar"/>
    <w:uiPriority w:val="99"/>
    <w:semiHidden/>
    <w:unhideWhenUsed/>
    <w:rsid w:val="00E50B19"/>
    <w:rPr>
      <w:b/>
      <w:bCs/>
    </w:rPr>
  </w:style>
  <w:style w:type="character" w:customStyle="1" w:styleId="AsuntodelcomentarioCar">
    <w:name w:val="Asunto del comentario Car"/>
    <w:basedOn w:val="TextocomentarioCar"/>
    <w:link w:val="Asuntodelcomentario"/>
    <w:uiPriority w:val="99"/>
    <w:semiHidden/>
    <w:rsid w:val="00E50B19"/>
    <w:rPr>
      <w:rFonts w:ascii="Times New Roman" w:eastAsia="Times New Roman" w:hAnsi="Times New Roman" w:cs="Times New Roman"/>
      <w:b/>
      <w:bCs/>
      <w:sz w:val="20"/>
      <w:szCs w:val="20"/>
      <w:lang w:val="fr-FR" w:eastAsia="fr-FR"/>
    </w:rPr>
  </w:style>
  <w:style w:type="paragraph" w:styleId="Textodeglobo">
    <w:name w:val="Balloon Text"/>
    <w:basedOn w:val="Normal"/>
    <w:link w:val="TextodegloboCar"/>
    <w:uiPriority w:val="99"/>
    <w:semiHidden/>
    <w:unhideWhenUsed/>
    <w:rsid w:val="00E50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0B19"/>
    <w:rPr>
      <w:rFonts w:ascii="Segoe UI" w:eastAsia="Times New Roman" w:hAnsi="Segoe UI" w:cs="Segoe UI"/>
      <w:sz w:val="18"/>
      <w:szCs w:val="18"/>
      <w:lang w:val="fr-FR" w:eastAsia="fr-FR"/>
    </w:rPr>
  </w:style>
  <w:style w:type="table" w:styleId="Tablaconcuadrcula">
    <w:name w:val="Table Grid"/>
    <w:basedOn w:val="Tablanormal"/>
    <w:uiPriority w:val="39"/>
    <w:rsid w:val="00C01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810B9"/>
    <w:rPr>
      <w:color w:val="808080"/>
    </w:rPr>
  </w:style>
  <w:style w:type="paragraph" w:styleId="Revisin">
    <w:name w:val="Revision"/>
    <w:hidden/>
    <w:uiPriority w:val="99"/>
    <w:semiHidden/>
    <w:rsid w:val="00560703"/>
    <w:pPr>
      <w:spacing w:after="0"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350748"/>
    <w:pPr>
      <w:spacing w:before="100" w:beforeAutospacing="1" w:after="100" w:afterAutospacing="1"/>
    </w:pPr>
    <w:rPr>
      <w:lang w:val="es-ES" w:eastAsia="zh-CN"/>
    </w:rPr>
  </w:style>
  <w:style w:type="character" w:styleId="Textoennegrita">
    <w:name w:val="Strong"/>
    <w:basedOn w:val="Fuentedeprrafopredeter"/>
    <w:uiPriority w:val="22"/>
    <w:qFormat/>
    <w:rsid w:val="00350748"/>
    <w:rPr>
      <w:b/>
      <w:bCs/>
    </w:rPr>
  </w:style>
  <w:style w:type="paragraph" w:styleId="Encabezado">
    <w:name w:val="header"/>
    <w:basedOn w:val="Normal"/>
    <w:link w:val="EncabezadoCar"/>
    <w:uiPriority w:val="99"/>
    <w:unhideWhenUsed/>
    <w:rsid w:val="00A37386"/>
    <w:pPr>
      <w:tabs>
        <w:tab w:val="center" w:pos="4252"/>
        <w:tab w:val="right" w:pos="8504"/>
      </w:tabs>
    </w:pPr>
  </w:style>
  <w:style w:type="character" w:customStyle="1" w:styleId="EncabezadoCar">
    <w:name w:val="Encabezado Car"/>
    <w:basedOn w:val="Fuentedeprrafopredeter"/>
    <w:link w:val="Encabezado"/>
    <w:uiPriority w:val="99"/>
    <w:rsid w:val="00A37386"/>
    <w:rPr>
      <w:rFonts w:ascii="Times New Roman" w:eastAsia="Times New Roman" w:hAnsi="Times New Roman" w:cs="Times New Roman"/>
      <w:sz w:val="24"/>
      <w:szCs w:val="24"/>
      <w:lang w:val="fr-FR" w:eastAsia="fr-FR"/>
    </w:rPr>
  </w:style>
  <w:style w:type="paragraph" w:styleId="Piedepgina">
    <w:name w:val="footer"/>
    <w:basedOn w:val="Normal"/>
    <w:link w:val="PiedepginaCar"/>
    <w:uiPriority w:val="99"/>
    <w:unhideWhenUsed/>
    <w:rsid w:val="00A37386"/>
    <w:pPr>
      <w:tabs>
        <w:tab w:val="center" w:pos="4252"/>
        <w:tab w:val="right" w:pos="8504"/>
      </w:tabs>
    </w:pPr>
  </w:style>
  <w:style w:type="character" w:customStyle="1" w:styleId="PiedepginaCar">
    <w:name w:val="Pie de página Car"/>
    <w:basedOn w:val="Fuentedeprrafopredeter"/>
    <w:link w:val="Piedepgina"/>
    <w:uiPriority w:val="99"/>
    <w:rsid w:val="00A37386"/>
    <w:rPr>
      <w:rFonts w:ascii="Times New Roman" w:eastAsia="Times New Roman" w:hAnsi="Times New Roman" w:cs="Times New Roman"/>
      <w:sz w:val="24"/>
      <w:szCs w:val="24"/>
      <w:lang w:val="fr-FR" w:eastAsia="fr-FR"/>
    </w:rPr>
  </w:style>
  <w:style w:type="table" w:customStyle="1" w:styleId="ListTable1Light">
    <w:name w:val="List Table 1 Light"/>
    <w:basedOn w:val="Tablanormal"/>
    <w:uiPriority w:val="46"/>
    <w:rsid w:val="005B57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2Car">
    <w:name w:val="Título 2 Car"/>
    <w:basedOn w:val="Fuentedeprrafopredeter"/>
    <w:link w:val="Ttulo2"/>
    <w:uiPriority w:val="9"/>
    <w:rsid w:val="008F52E0"/>
    <w:rPr>
      <w:rFonts w:ascii="Times New Roman" w:eastAsiaTheme="majorEastAsia" w:hAnsi="Times New Roman" w:cstheme="majorBidi"/>
      <w:b/>
      <w:szCs w:val="26"/>
      <w:lang w:val="en-GB" w:eastAsia="fr-FR"/>
    </w:rPr>
  </w:style>
  <w:style w:type="table" w:customStyle="1" w:styleId="GridTable7Colorful">
    <w:name w:val="Grid Table 7 Colorful"/>
    <w:basedOn w:val="Tablanormal"/>
    <w:uiPriority w:val="52"/>
    <w:rsid w:val="009355A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7Colorful">
    <w:name w:val="List Table 7 Colorful"/>
    <w:basedOn w:val="Tablanormal"/>
    <w:uiPriority w:val="52"/>
    <w:rsid w:val="009355A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grafe">
    <w:name w:val="caption"/>
    <w:basedOn w:val="Normal"/>
    <w:next w:val="Normal"/>
    <w:uiPriority w:val="35"/>
    <w:unhideWhenUsed/>
    <w:qFormat/>
    <w:rsid w:val="003B26BE"/>
    <w:pPr>
      <w:spacing w:after="200"/>
    </w:pPr>
    <w:rPr>
      <w:i/>
      <w:iCs/>
      <w:color w:val="44546A" w:themeColor="text2"/>
      <w:sz w:val="18"/>
      <w:szCs w:val="18"/>
    </w:rPr>
  </w:style>
  <w:style w:type="character" w:styleId="Nmerodelnea">
    <w:name w:val="line number"/>
    <w:basedOn w:val="Fuentedeprrafopredeter"/>
    <w:uiPriority w:val="99"/>
    <w:semiHidden/>
    <w:unhideWhenUsed/>
    <w:rsid w:val="0012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697">
      <w:bodyDiv w:val="1"/>
      <w:marLeft w:val="0"/>
      <w:marRight w:val="0"/>
      <w:marTop w:val="0"/>
      <w:marBottom w:val="0"/>
      <w:divBdr>
        <w:top w:val="none" w:sz="0" w:space="0" w:color="auto"/>
        <w:left w:val="none" w:sz="0" w:space="0" w:color="auto"/>
        <w:bottom w:val="none" w:sz="0" w:space="0" w:color="auto"/>
        <w:right w:val="none" w:sz="0" w:space="0" w:color="auto"/>
      </w:divBdr>
    </w:div>
    <w:div w:id="216747040">
      <w:bodyDiv w:val="1"/>
      <w:marLeft w:val="0"/>
      <w:marRight w:val="0"/>
      <w:marTop w:val="0"/>
      <w:marBottom w:val="0"/>
      <w:divBdr>
        <w:top w:val="none" w:sz="0" w:space="0" w:color="auto"/>
        <w:left w:val="none" w:sz="0" w:space="0" w:color="auto"/>
        <w:bottom w:val="none" w:sz="0" w:space="0" w:color="auto"/>
        <w:right w:val="none" w:sz="0" w:space="0" w:color="auto"/>
      </w:divBdr>
    </w:div>
    <w:div w:id="734545352">
      <w:bodyDiv w:val="1"/>
      <w:marLeft w:val="0"/>
      <w:marRight w:val="0"/>
      <w:marTop w:val="0"/>
      <w:marBottom w:val="0"/>
      <w:divBdr>
        <w:top w:val="none" w:sz="0" w:space="0" w:color="auto"/>
        <w:left w:val="none" w:sz="0" w:space="0" w:color="auto"/>
        <w:bottom w:val="none" w:sz="0" w:space="0" w:color="auto"/>
        <w:right w:val="none" w:sz="0" w:space="0" w:color="auto"/>
      </w:divBdr>
    </w:div>
    <w:div w:id="1212573280">
      <w:bodyDiv w:val="1"/>
      <w:marLeft w:val="0"/>
      <w:marRight w:val="0"/>
      <w:marTop w:val="0"/>
      <w:marBottom w:val="0"/>
      <w:divBdr>
        <w:top w:val="none" w:sz="0" w:space="0" w:color="auto"/>
        <w:left w:val="none" w:sz="0" w:space="0" w:color="auto"/>
        <w:bottom w:val="none" w:sz="0" w:space="0" w:color="auto"/>
        <w:right w:val="none" w:sz="0" w:space="0" w:color="auto"/>
      </w:divBdr>
      <w:divsChild>
        <w:div w:id="864100503">
          <w:marLeft w:val="0"/>
          <w:marRight w:val="0"/>
          <w:marTop w:val="0"/>
          <w:marBottom w:val="0"/>
          <w:divBdr>
            <w:top w:val="none" w:sz="0" w:space="0" w:color="auto"/>
            <w:left w:val="none" w:sz="0" w:space="0" w:color="auto"/>
            <w:bottom w:val="none" w:sz="0" w:space="0" w:color="auto"/>
            <w:right w:val="none" w:sz="0" w:space="0" w:color="auto"/>
          </w:divBdr>
          <w:divsChild>
            <w:div w:id="1182475585">
              <w:marLeft w:val="0"/>
              <w:marRight w:val="0"/>
              <w:marTop w:val="0"/>
              <w:marBottom w:val="0"/>
              <w:divBdr>
                <w:top w:val="none" w:sz="0" w:space="0" w:color="auto"/>
                <w:left w:val="none" w:sz="0" w:space="0" w:color="auto"/>
                <w:bottom w:val="none" w:sz="0" w:space="0" w:color="auto"/>
                <w:right w:val="none" w:sz="0" w:space="0" w:color="auto"/>
              </w:divBdr>
              <w:divsChild>
                <w:div w:id="1867477809">
                  <w:marLeft w:val="0"/>
                  <w:marRight w:val="0"/>
                  <w:marTop w:val="0"/>
                  <w:marBottom w:val="0"/>
                  <w:divBdr>
                    <w:top w:val="none" w:sz="0" w:space="0" w:color="auto"/>
                    <w:left w:val="none" w:sz="0" w:space="0" w:color="auto"/>
                    <w:bottom w:val="none" w:sz="0" w:space="0" w:color="auto"/>
                    <w:right w:val="none" w:sz="0" w:space="0" w:color="auto"/>
                  </w:divBdr>
                  <w:divsChild>
                    <w:div w:id="848299515">
                      <w:marLeft w:val="0"/>
                      <w:marRight w:val="0"/>
                      <w:marTop w:val="0"/>
                      <w:marBottom w:val="0"/>
                      <w:divBdr>
                        <w:top w:val="none" w:sz="0" w:space="0" w:color="auto"/>
                        <w:left w:val="none" w:sz="0" w:space="0" w:color="auto"/>
                        <w:bottom w:val="none" w:sz="0" w:space="0" w:color="auto"/>
                        <w:right w:val="none" w:sz="0" w:space="0" w:color="auto"/>
                      </w:divBdr>
                      <w:divsChild>
                        <w:div w:id="116610085">
                          <w:marLeft w:val="0"/>
                          <w:marRight w:val="0"/>
                          <w:marTop w:val="0"/>
                          <w:marBottom w:val="0"/>
                          <w:divBdr>
                            <w:top w:val="none" w:sz="0" w:space="0" w:color="auto"/>
                            <w:left w:val="none" w:sz="0" w:space="0" w:color="auto"/>
                            <w:bottom w:val="none" w:sz="0" w:space="0" w:color="auto"/>
                            <w:right w:val="none" w:sz="0" w:space="0" w:color="auto"/>
                          </w:divBdr>
                          <w:divsChild>
                            <w:div w:id="1592201617">
                              <w:marLeft w:val="0"/>
                              <w:marRight w:val="300"/>
                              <w:marTop w:val="180"/>
                              <w:marBottom w:val="0"/>
                              <w:divBdr>
                                <w:top w:val="none" w:sz="0" w:space="0" w:color="auto"/>
                                <w:left w:val="none" w:sz="0" w:space="0" w:color="auto"/>
                                <w:bottom w:val="none" w:sz="0" w:space="0" w:color="auto"/>
                                <w:right w:val="none" w:sz="0" w:space="0" w:color="auto"/>
                              </w:divBdr>
                              <w:divsChild>
                                <w:div w:id="180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59037">
          <w:marLeft w:val="0"/>
          <w:marRight w:val="0"/>
          <w:marTop w:val="0"/>
          <w:marBottom w:val="0"/>
          <w:divBdr>
            <w:top w:val="none" w:sz="0" w:space="0" w:color="auto"/>
            <w:left w:val="none" w:sz="0" w:space="0" w:color="auto"/>
            <w:bottom w:val="none" w:sz="0" w:space="0" w:color="auto"/>
            <w:right w:val="none" w:sz="0" w:space="0" w:color="auto"/>
          </w:divBdr>
          <w:divsChild>
            <w:div w:id="416943188">
              <w:marLeft w:val="0"/>
              <w:marRight w:val="0"/>
              <w:marTop w:val="0"/>
              <w:marBottom w:val="0"/>
              <w:divBdr>
                <w:top w:val="none" w:sz="0" w:space="0" w:color="auto"/>
                <w:left w:val="none" w:sz="0" w:space="0" w:color="auto"/>
                <w:bottom w:val="none" w:sz="0" w:space="0" w:color="auto"/>
                <w:right w:val="none" w:sz="0" w:space="0" w:color="auto"/>
              </w:divBdr>
              <w:divsChild>
                <w:div w:id="1011638336">
                  <w:marLeft w:val="0"/>
                  <w:marRight w:val="0"/>
                  <w:marTop w:val="0"/>
                  <w:marBottom w:val="0"/>
                  <w:divBdr>
                    <w:top w:val="none" w:sz="0" w:space="0" w:color="auto"/>
                    <w:left w:val="none" w:sz="0" w:space="0" w:color="auto"/>
                    <w:bottom w:val="none" w:sz="0" w:space="0" w:color="auto"/>
                    <w:right w:val="none" w:sz="0" w:space="0" w:color="auto"/>
                  </w:divBdr>
                  <w:divsChild>
                    <w:div w:id="1066142849">
                      <w:marLeft w:val="0"/>
                      <w:marRight w:val="0"/>
                      <w:marTop w:val="0"/>
                      <w:marBottom w:val="0"/>
                      <w:divBdr>
                        <w:top w:val="none" w:sz="0" w:space="0" w:color="auto"/>
                        <w:left w:val="none" w:sz="0" w:space="0" w:color="auto"/>
                        <w:bottom w:val="none" w:sz="0" w:space="0" w:color="auto"/>
                        <w:right w:val="none" w:sz="0" w:space="0" w:color="auto"/>
                      </w:divBdr>
                      <w:divsChild>
                        <w:div w:id="11778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23" Type="http://schemas.microsoft.com/office/2011/relationships/commentsExtended" Target="commentsExtended.xml"/><Relationship Id="rId10" Type="http://schemas.openxmlformats.org/officeDocument/2006/relationships/comments" Target="comments.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ejmartr@unileon.es" TargetMode="External"/><Relationship Id="rId14" Type="http://schemas.openxmlformats.org/officeDocument/2006/relationships/image" Target="media/image4.jpeg"/><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EAEA-95BB-47CF-AA36-3CC4A295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33386</Words>
  <Characters>183624</Characters>
  <Application>Microsoft Office Word</Application>
  <DocSecurity>0</DocSecurity>
  <Lines>1530</Lines>
  <Paragraphs>433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Usuario de Windows</cp:lastModifiedBy>
  <cp:revision>2</cp:revision>
  <cp:lastPrinted>2020-01-17T11:34:00Z</cp:lastPrinted>
  <dcterms:created xsi:type="dcterms:W3CDTF">2021-10-21T14:29:00Z</dcterms:created>
  <dcterms:modified xsi:type="dcterms:W3CDTF">2021-10-21T14:29:00Z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http://www.zotero.org/styles/biochemical-engineering-journal</vt:lpwstr>
  </property>
  <property fmtid="{D5CDD505-2E9C-101B-9397-08002B2CF9AE}" pid="4" name="Mendeley Recent Style Name 0_1">
    <vt:lpwstr>Biochemical Engineering Journal</vt:lpwstr>
  </property>
  <property fmtid="{D5CDD505-2E9C-101B-9397-08002B2CF9AE}" pid="5" name="Mendeley Recent Style Id 1_1">
    <vt:lpwstr>http://www.zotero.org/styles/bioresource-technology</vt:lpwstr>
  </property>
  <property fmtid="{D5CDD505-2E9C-101B-9397-08002B2CF9AE}" pid="6" name="Mendeley Recent Style Name 1_1">
    <vt:lpwstr>Bioresource Technology</vt:lpwstr>
  </property>
  <property fmtid="{D5CDD505-2E9C-101B-9397-08002B2CF9AE}" pid="7" name="Mendeley Recent Style Id 2_1">
    <vt:lpwstr>http://www.zotero.org/styles/chemical-engineering-journal</vt:lpwstr>
  </property>
  <property fmtid="{D5CDD505-2E9C-101B-9397-08002B2CF9AE}" pid="8" name="Mendeley Recent Style Name 2_1">
    <vt:lpwstr>Chemical Engineering Journal</vt:lpwstr>
  </property>
  <property fmtid="{D5CDD505-2E9C-101B-9397-08002B2CF9AE}" pid="9" name="Mendeley Recent Style Id 3_1">
    <vt:lpwstr>http://www.zotero.org/styles/environmental-research</vt:lpwstr>
  </property>
  <property fmtid="{D5CDD505-2E9C-101B-9397-08002B2CF9AE}" pid="10" name="Mendeley Recent Style Name 3_1">
    <vt:lpwstr>Environmental Research</vt:lpwstr>
  </property>
  <property fmtid="{D5CDD505-2E9C-101B-9397-08002B2CF9AE}" pid="11" name="Mendeley Recent Style Id 4_1">
    <vt:lpwstr>http://www.zotero.org/styles/environmental-science-and-pollution-research</vt:lpwstr>
  </property>
  <property fmtid="{D5CDD505-2E9C-101B-9397-08002B2CF9AE}" pid="12" name="Mendeley Recent Style Name 4_1">
    <vt:lpwstr>Environmental Science and Pollution Research</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http://www.zotero.org/styles/international-journal-of-environmental-science-and-technology</vt:lpwstr>
  </property>
  <property fmtid="{D5CDD505-2E9C-101B-9397-08002B2CF9AE}" pid="16" name="Mendeley Recent Style Name 6_1">
    <vt:lpwstr>International Journal of Environmental Science and Technology</vt:lpwstr>
  </property>
  <property fmtid="{D5CDD505-2E9C-101B-9397-08002B2CF9AE}" pid="17" name="Mendeley Recent Style Id 7_1">
    <vt:lpwstr>http://www.zotero.org/styles/journal-of-environmental-management</vt:lpwstr>
  </property>
  <property fmtid="{D5CDD505-2E9C-101B-9397-08002B2CF9AE}" pid="18" name="Mendeley Recent Style Name 7_1">
    <vt:lpwstr>Journal of Environmental Management</vt:lpwstr>
  </property>
  <property fmtid="{D5CDD505-2E9C-101B-9397-08002B2CF9AE}" pid="19" name="Mendeley Recent Style Id 8_1">
    <vt:lpwstr>http://www.zotero.org/styles/journal-of-environmental-sciences</vt:lpwstr>
  </property>
  <property fmtid="{D5CDD505-2E9C-101B-9397-08002B2CF9AE}" pid="20" name="Mendeley Recent Style Name 8_1">
    <vt:lpwstr>Journal of Environmental Sciences</vt:lpwstr>
  </property>
  <property fmtid="{D5CDD505-2E9C-101B-9397-08002B2CF9AE}" pid="21" name="Mendeley Recent Style Id 9_1">
    <vt:lpwstr>http://www.zotero.org/styles/water-research</vt:lpwstr>
  </property>
  <property fmtid="{D5CDD505-2E9C-101B-9397-08002B2CF9AE}" pid="22" name="Mendeley Recent Style Name 9_1">
    <vt:lpwstr>Water Research</vt:lpwstr>
  </property>
  <property fmtid="{D5CDD505-2E9C-101B-9397-08002B2CF9AE}" pid="23" name="Mendeley Citation Style_1">
    <vt:lpwstr>http://www.zotero.org/styles/journal-of-environmental-management</vt:lpwstr>
  </property>
  <property fmtid="{D5CDD505-2E9C-101B-9397-08002B2CF9AE}" pid="24" name="Mendeley Unique User Id_1">
    <vt:lpwstr>a13efd3d-454a-3ff1-93ae-4323093a2473</vt:lpwstr>
  </property>
</Properties>
</file>